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82" w:rsidRPr="00331CE7" w:rsidRDefault="005C4A60" w:rsidP="00331CE7">
      <w:pPr>
        <w:spacing w:line="360" w:lineRule="auto"/>
        <w:rPr>
          <w:rFonts w:ascii="Arial" w:hAnsi="Arial" w:cs="Arial"/>
          <w:sz w:val="24"/>
          <w:szCs w:val="24"/>
          <w:lang w:val="pl-PL"/>
        </w:rPr>
      </w:pPr>
      <w:r w:rsidRPr="00331CE7">
        <w:rPr>
          <w:rFonts w:ascii="Arial" w:hAnsi="Arial" w:cs="Arial"/>
          <w:b/>
          <w:sz w:val="24"/>
          <w:szCs w:val="24"/>
          <w:lang w:val="pl-PL"/>
        </w:rPr>
        <w:t>Załącznik</w:t>
      </w:r>
      <w:r w:rsidR="00EA2DE0" w:rsidRPr="00331CE7">
        <w:rPr>
          <w:rFonts w:ascii="Arial" w:hAnsi="Arial" w:cs="Arial"/>
          <w:b/>
          <w:sz w:val="24"/>
          <w:szCs w:val="24"/>
          <w:lang w:val="pl-PL"/>
        </w:rPr>
        <w:t xml:space="preserve"> 1</w:t>
      </w:r>
      <w:r w:rsidR="00CF7616" w:rsidRPr="00331CE7">
        <w:rPr>
          <w:rFonts w:ascii="Arial" w:hAnsi="Arial" w:cs="Arial"/>
          <w:b/>
          <w:sz w:val="24"/>
          <w:szCs w:val="24"/>
          <w:lang w:val="pl-PL"/>
        </w:rPr>
        <w:t xml:space="preserve"> do FERS:</w:t>
      </w:r>
      <w:r w:rsidR="00CF7616" w:rsidRPr="00331CE7">
        <w:rPr>
          <w:rFonts w:ascii="Arial" w:hAnsi="Arial" w:cs="Arial"/>
          <w:sz w:val="24"/>
          <w:szCs w:val="24"/>
          <w:lang w:val="pl-PL"/>
        </w:rPr>
        <w:t xml:space="preserve"> </w:t>
      </w:r>
      <w:r w:rsidRPr="00331CE7">
        <w:rPr>
          <w:rFonts w:ascii="Arial" w:hAnsi="Arial" w:cs="Arial"/>
          <w:sz w:val="24"/>
          <w:szCs w:val="24"/>
          <w:lang w:val="pl-PL"/>
        </w:rPr>
        <w:t>Wkład Unii w oparciu o koszty jednostkowe, płatności ryczałtowe i stawki zryczałtowane</w:t>
      </w:r>
    </w:p>
    <w:p w:rsidR="00F54182" w:rsidRPr="00331CE7" w:rsidRDefault="005C4A60" w:rsidP="00331CE7">
      <w:pPr>
        <w:pStyle w:val="Nagwek1"/>
        <w:spacing w:line="360" w:lineRule="auto"/>
        <w:jc w:val="left"/>
        <w:rPr>
          <w:rFonts w:eastAsia="Calibri"/>
          <w:sz w:val="24"/>
          <w:szCs w:val="24"/>
        </w:rPr>
      </w:pPr>
      <w:r w:rsidRPr="00331CE7">
        <w:rPr>
          <w:rFonts w:eastAsia="Calibri"/>
          <w:sz w:val="24"/>
          <w:szCs w:val="24"/>
        </w:rPr>
        <w:t>Wzór formularza na potrzeby przekazywania danych do przeanalizowania przez Komisję</w:t>
      </w:r>
      <w:r w:rsidR="00EA2DE0" w:rsidRPr="00331CE7">
        <w:rPr>
          <w:rFonts w:eastAsia="Calibri"/>
          <w:sz w:val="24"/>
          <w:szCs w:val="24"/>
        </w:rPr>
        <w:t xml:space="preserve"> </w:t>
      </w:r>
      <w:r w:rsidR="00F54182" w:rsidRPr="00331CE7">
        <w:rPr>
          <w:rFonts w:eastAsia="Calibri"/>
          <w:sz w:val="24"/>
          <w:szCs w:val="24"/>
        </w:rPr>
        <w:t>(</w:t>
      </w:r>
      <w:r w:rsidRPr="00331CE7">
        <w:rPr>
          <w:rFonts w:eastAsia="Calibri"/>
          <w:sz w:val="24"/>
          <w:szCs w:val="24"/>
        </w:rPr>
        <w:t>art.</w:t>
      </w:r>
      <w:r w:rsidR="00F54182" w:rsidRPr="00331CE7">
        <w:rPr>
          <w:rFonts w:eastAsia="Calibri"/>
          <w:sz w:val="24"/>
          <w:szCs w:val="24"/>
        </w:rPr>
        <w:t xml:space="preserve"> </w:t>
      </w:r>
      <w:r w:rsidRPr="00331CE7">
        <w:rPr>
          <w:rFonts w:eastAsia="Calibri"/>
          <w:sz w:val="24"/>
          <w:szCs w:val="24"/>
        </w:rPr>
        <w:t>94</w:t>
      </w:r>
      <w:r w:rsidR="00F54182" w:rsidRPr="00331CE7">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54182" w:rsidRPr="00331CE7" w:rsidTr="001645C0">
        <w:tc>
          <w:tcPr>
            <w:tcW w:w="4644" w:type="dxa"/>
            <w:shd w:val="clear" w:color="auto" w:fill="auto"/>
          </w:tcPr>
          <w:p w:rsidR="00F54182" w:rsidRPr="00331CE7" w:rsidRDefault="005C4A60" w:rsidP="00331CE7">
            <w:pPr>
              <w:spacing w:after="0" w:line="360" w:lineRule="auto"/>
              <w:rPr>
                <w:rFonts w:ascii="Arial" w:eastAsia="Calibri" w:hAnsi="Arial" w:cs="Arial"/>
                <w:noProof/>
                <w:sz w:val="24"/>
                <w:szCs w:val="24"/>
              </w:rPr>
            </w:pPr>
            <w:r w:rsidRPr="00331CE7">
              <w:rPr>
                <w:rFonts w:ascii="Arial" w:eastAsia="Calibri" w:hAnsi="Arial" w:cs="Arial"/>
                <w:noProof/>
                <w:sz w:val="24"/>
                <w:szCs w:val="24"/>
              </w:rPr>
              <w:t>Data złożenia propozycji</w:t>
            </w:r>
          </w:p>
        </w:tc>
        <w:tc>
          <w:tcPr>
            <w:tcW w:w="4644" w:type="dxa"/>
            <w:shd w:val="clear" w:color="auto" w:fill="auto"/>
          </w:tcPr>
          <w:p w:rsidR="00F54182" w:rsidRPr="00331CE7" w:rsidRDefault="00F54182" w:rsidP="00331CE7">
            <w:pPr>
              <w:spacing w:after="0" w:line="360" w:lineRule="auto"/>
              <w:rPr>
                <w:rFonts w:ascii="Arial" w:eastAsia="Calibri" w:hAnsi="Arial" w:cs="Arial"/>
                <w:noProof/>
                <w:sz w:val="24"/>
                <w:szCs w:val="24"/>
              </w:rPr>
            </w:pPr>
          </w:p>
        </w:tc>
      </w:tr>
      <w:tr w:rsidR="00F54182" w:rsidRPr="00331CE7" w:rsidTr="001645C0">
        <w:tc>
          <w:tcPr>
            <w:tcW w:w="4644" w:type="dxa"/>
            <w:shd w:val="clear" w:color="auto" w:fill="auto"/>
          </w:tcPr>
          <w:p w:rsidR="00F54182" w:rsidRPr="00331CE7" w:rsidRDefault="00F54182" w:rsidP="00331CE7">
            <w:pPr>
              <w:spacing w:after="0" w:line="360" w:lineRule="auto"/>
              <w:rPr>
                <w:rFonts w:ascii="Arial" w:eastAsia="Calibri" w:hAnsi="Arial" w:cs="Arial"/>
                <w:noProof/>
                <w:sz w:val="24"/>
                <w:szCs w:val="24"/>
              </w:rPr>
            </w:pPr>
          </w:p>
        </w:tc>
        <w:tc>
          <w:tcPr>
            <w:tcW w:w="4644" w:type="dxa"/>
            <w:shd w:val="clear" w:color="auto" w:fill="auto"/>
          </w:tcPr>
          <w:p w:rsidR="00F54182" w:rsidRPr="00331CE7" w:rsidRDefault="00F54182" w:rsidP="00331CE7">
            <w:pPr>
              <w:spacing w:after="0" w:line="360" w:lineRule="auto"/>
              <w:rPr>
                <w:rFonts w:ascii="Arial" w:eastAsia="Calibri" w:hAnsi="Arial" w:cs="Arial"/>
                <w:noProof/>
                <w:sz w:val="24"/>
                <w:szCs w:val="24"/>
              </w:rPr>
            </w:pPr>
          </w:p>
        </w:tc>
      </w:tr>
    </w:tbl>
    <w:p w:rsidR="00F54182" w:rsidRPr="00331CE7" w:rsidRDefault="005C4A60" w:rsidP="00331CE7">
      <w:pPr>
        <w:pStyle w:val="Nagwek3"/>
        <w:spacing w:line="360" w:lineRule="auto"/>
        <w:rPr>
          <w:szCs w:val="24"/>
        </w:rPr>
      </w:pPr>
      <w:r w:rsidRPr="00331CE7">
        <w:rPr>
          <w:szCs w:val="24"/>
        </w:rPr>
        <w:t>Niniejszy dodatek nie jest wymagany w przypadku stosowania uproszczonych metod rozliczania kosztów na poziomie Unii ustanowionych w akcie delegowanym, o którym mowa w art. 94 ust. 4</w:t>
      </w:r>
      <w:r w:rsidR="00F54182" w:rsidRPr="00331CE7">
        <w:rPr>
          <w:szCs w:val="24"/>
        </w:rPr>
        <w:t>.</w:t>
      </w:r>
    </w:p>
    <w:p w:rsidR="00F54182" w:rsidRPr="00965C64" w:rsidRDefault="005C4A60" w:rsidP="00331CE7">
      <w:pPr>
        <w:pStyle w:val="Nagwek2"/>
        <w:spacing w:line="360" w:lineRule="auto"/>
        <w:ind w:left="426"/>
        <w:rPr>
          <w:sz w:val="26"/>
          <w:szCs w:val="26"/>
        </w:rPr>
      </w:pPr>
      <w:r w:rsidRPr="00965C64">
        <w:rPr>
          <w:sz w:val="26"/>
          <w:szCs w:val="26"/>
        </w:rPr>
        <w:t>Podsumowanie głównych elementów</w:t>
      </w:r>
      <w:r w:rsidR="00F54182" w:rsidRPr="00965C64">
        <w:rPr>
          <w:sz w:val="26"/>
          <w:szCs w:val="26"/>
        </w:rPr>
        <w:t xml:space="preserve"> </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Priorytet: Wszystkie z wyłączeniem pomocy technicznej</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Fundusz: EFS+</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Cel szczegółowy: Wszystkie z wyłączeniem celu szczegółowego m) przeciwdziałanie deprywacji materialnej przez udzielanie pomocy żywnościowej lub podstawowej pomocy materialnej osobom najbardziej potrzebującym, w tym dzieciom, oraz zapewnianie środków towarzyszących wspierających ich włączenie społeczne.</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Kategoria regionu: Wszystkie</w:t>
      </w:r>
    </w:p>
    <w:p w:rsidR="00895626" w:rsidRPr="00331CE7" w:rsidRDefault="00895626" w:rsidP="00331CE7">
      <w:pPr>
        <w:pStyle w:val="Akapitzlist"/>
        <w:numPr>
          <w:ilvl w:val="0"/>
          <w:numId w:val="15"/>
        </w:numPr>
        <w:spacing w:line="360" w:lineRule="auto"/>
        <w:rPr>
          <w:rFonts w:ascii="Arial" w:hAnsi="Arial" w:cs="Arial"/>
          <w:i/>
          <w:sz w:val="24"/>
          <w:szCs w:val="24"/>
          <w:lang w:val="pl-PL"/>
        </w:rPr>
      </w:pPr>
      <w:r w:rsidRPr="00331CE7">
        <w:rPr>
          <w:rFonts w:ascii="Arial" w:hAnsi="Arial" w:cs="Arial"/>
          <w:sz w:val="24"/>
          <w:szCs w:val="24"/>
          <w:lang w:val="pl-PL"/>
        </w:rPr>
        <w:t xml:space="preserve">Szacunkowy udział łącznej alokacji finansowej w ramach priorytetu, do którego stosowane będą uproszczone metody rozliczania kosztów (SCO), w %: </w:t>
      </w:r>
      <w:r w:rsidRPr="00331CE7">
        <w:rPr>
          <w:rFonts w:ascii="Arial" w:hAnsi="Arial" w:cs="Arial"/>
          <w:i/>
          <w:sz w:val="24"/>
          <w:szCs w:val="24"/>
          <w:lang w:val="pl-PL"/>
        </w:rPr>
        <w:t>Do uzupełnienia</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Rodzaj(e) operacji objętej(-</w:t>
      </w:r>
      <w:proofErr w:type="spellStart"/>
      <w:r w:rsidRPr="00331CE7">
        <w:rPr>
          <w:rFonts w:ascii="Arial" w:hAnsi="Arial" w:cs="Arial"/>
          <w:sz w:val="24"/>
          <w:szCs w:val="24"/>
          <w:lang w:val="pl-PL"/>
        </w:rPr>
        <w:t>ych</w:t>
      </w:r>
      <w:proofErr w:type="spellEnd"/>
      <w:r w:rsidRPr="00331CE7">
        <w:rPr>
          <w:rFonts w:ascii="Arial" w:hAnsi="Arial" w:cs="Arial"/>
          <w:sz w:val="24"/>
          <w:szCs w:val="24"/>
          <w:lang w:val="pl-PL"/>
        </w:rPr>
        <w:t xml:space="preserve">) finansowaniem: </w:t>
      </w:r>
    </w:p>
    <w:p w:rsidR="00895626" w:rsidRPr="00331CE7" w:rsidRDefault="00895626" w:rsidP="00331CE7">
      <w:pPr>
        <w:pStyle w:val="Akapitzlist"/>
        <w:numPr>
          <w:ilvl w:val="0"/>
          <w:numId w:val="13"/>
        </w:numPr>
        <w:spacing w:line="360" w:lineRule="auto"/>
        <w:ind w:left="993"/>
        <w:rPr>
          <w:rFonts w:ascii="Arial" w:hAnsi="Arial" w:cs="Arial"/>
          <w:sz w:val="24"/>
          <w:szCs w:val="24"/>
          <w:lang w:val="pl-PL"/>
        </w:rPr>
      </w:pPr>
      <w:r w:rsidRPr="00331CE7">
        <w:rPr>
          <w:rFonts w:ascii="Arial" w:hAnsi="Arial" w:cs="Arial"/>
          <w:sz w:val="24"/>
          <w:szCs w:val="24"/>
          <w:lang w:val="pl-PL"/>
        </w:rPr>
        <w:t xml:space="preserve">Kod </w:t>
      </w:r>
      <w:r w:rsidRPr="00331CE7">
        <w:rPr>
          <w:rStyle w:val="Odwoanieprzypisudolnego"/>
          <w:rFonts w:ascii="Arial" w:hAnsi="Arial" w:cs="Arial"/>
          <w:sz w:val="24"/>
          <w:szCs w:val="24"/>
          <w:lang w:val="pl-PL"/>
        </w:rPr>
        <w:footnoteReference w:id="1"/>
      </w:r>
      <w:r w:rsidRPr="00331CE7">
        <w:rPr>
          <w:rFonts w:ascii="Arial" w:hAnsi="Arial" w:cs="Arial"/>
          <w:sz w:val="24"/>
          <w:szCs w:val="24"/>
          <w:lang w:val="pl-PL"/>
        </w:rPr>
        <w:t>:</w:t>
      </w:r>
    </w:p>
    <w:p w:rsidR="00895626" w:rsidRPr="00331CE7" w:rsidRDefault="00895626" w:rsidP="00331CE7">
      <w:pPr>
        <w:pStyle w:val="Akapitzlist"/>
        <w:numPr>
          <w:ilvl w:val="0"/>
          <w:numId w:val="13"/>
        </w:numPr>
        <w:spacing w:line="360" w:lineRule="auto"/>
        <w:ind w:left="993"/>
        <w:rPr>
          <w:rFonts w:ascii="Arial" w:hAnsi="Arial" w:cs="Arial"/>
          <w:sz w:val="24"/>
          <w:szCs w:val="24"/>
          <w:lang w:val="pl-PL"/>
        </w:rPr>
      </w:pPr>
      <w:r w:rsidRPr="00331CE7">
        <w:rPr>
          <w:rFonts w:ascii="Arial" w:hAnsi="Arial" w:cs="Arial"/>
          <w:sz w:val="24"/>
          <w:szCs w:val="24"/>
          <w:lang w:val="pl-PL"/>
        </w:rPr>
        <w:t>Opis: Wszystkie, z wyłączeniem projektów wybieranych w trybie niekonkurencyjnym finansowanych z Funduszu Pracy.</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 xml:space="preserve">Wskaźnik uruchamiający zwrot kosztów: </w:t>
      </w:r>
    </w:p>
    <w:p w:rsidR="00895626" w:rsidRPr="00331CE7" w:rsidRDefault="00895626" w:rsidP="00331CE7">
      <w:pPr>
        <w:pStyle w:val="Akapitzlist"/>
        <w:numPr>
          <w:ilvl w:val="0"/>
          <w:numId w:val="14"/>
        </w:numPr>
        <w:spacing w:line="360" w:lineRule="auto"/>
        <w:ind w:left="993"/>
        <w:rPr>
          <w:rFonts w:ascii="Arial" w:hAnsi="Arial" w:cs="Arial"/>
          <w:sz w:val="24"/>
          <w:szCs w:val="24"/>
          <w:lang w:val="pl-PL"/>
        </w:rPr>
      </w:pPr>
      <w:r w:rsidRPr="00331CE7">
        <w:rPr>
          <w:rFonts w:ascii="Arial" w:hAnsi="Arial" w:cs="Arial"/>
          <w:sz w:val="24"/>
          <w:szCs w:val="24"/>
          <w:lang w:val="pl-PL"/>
        </w:rPr>
        <w:t>Kod</w:t>
      </w:r>
      <w:r w:rsidR="004B6F55">
        <w:rPr>
          <w:rFonts w:ascii="Arial" w:hAnsi="Arial" w:cs="Arial"/>
          <w:sz w:val="24"/>
          <w:szCs w:val="24"/>
          <w:lang w:val="pl-PL"/>
        </w:rPr>
        <w:t xml:space="preserve"> </w:t>
      </w:r>
      <w:r w:rsidRPr="00331CE7">
        <w:rPr>
          <w:rStyle w:val="Odwoanieprzypisudolnego"/>
          <w:rFonts w:ascii="Arial" w:hAnsi="Arial" w:cs="Arial"/>
          <w:sz w:val="24"/>
          <w:szCs w:val="24"/>
          <w:lang w:val="pl-PL"/>
        </w:rPr>
        <w:footnoteReference w:id="2"/>
      </w:r>
      <w:r w:rsidRPr="00331CE7">
        <w:rPr>
          <w:rFonts w:ascii="Arial" w:hAnsi="Arial" w:cs="Arial"/>
          <w:sz w:val="24"/>
          <w:szCs w:val="24"/>
          <w:lang w:val="pl-PL"/>
        </w:rPr>
        <w:t>:</w:t>
      </w:r>
    </w:p>
    <w:p w:rsidR="00895626" w:rsidRPr="00331CE7" w:rsidRDefault="00895626" w:rsidP="00331CE7">
      <w:pPr>
        <w:pStyle w:val="Akapitzlist"/>
        <w:numPr>
          <w:ilvl w:val="0"/>
          <w:numId w:val="14"/>
        </w:numPr>
        <w:spacing w:line="360" w:lineRule="auto"/>
        <w:ind w:left="993"/>
        <w:rPr>
          <w:rFonts w:ascii="Arial" w:hAnsi="Arial" w:cs="Arial"/>
          <w:sz w:val="24"/>
          <w:szCs w:val="24"/>
          <w:lang w:val="pl-PL"/>
        </w:rPr>
      </w:pPr>
      <w:r w:rsidRPr="00331CE7">
        <w:rPr>
          <w:rFonts w:ascii="Arial" w:hAnsi="Arial" w:cs="Arial"/>
          <w:sz w:val="24"/>
          <w:szCs w:val="24"/>
          <w:lang w:val="pl-PL"/>
        </w:rPr>
        <w:t>Opis</w:t>
      </w:r>
      <w:r w:rsidRPr="00331CE7">
        <w:rPr>
          <w:rFonts w:ascii="Arial" w:hAnsi="Arial" w:cs="Arial"/>
          <w:sz w:val="24"/>
          <w:szCs w:val="24"/>
          <w:lang w:val="pl-PL"/>
        </w:rPr>
        <w:t xml:space="preserve">: </w:t>
      </w:r>
      <w:r w:rsidRPr="00331CE7">
        <w:rPr>
          <w:rFonts w:ascii="Arial" w:hAnsi="Arial" w:cs="Arial"/>
          <w:sz w:val="24"/>
          <w:szCs w:val="24"/>
          <w:lang w:val="pl-PL"/>
        </w:rPr>
        <w:t>Wysokość kwalifikowalnych kosztów bezpośrednich,</w:t>
      </w:r>
      <w:r w:rsidRPr="00331CE7">
        <w:rPr>
          <w:rFonts w:ascii="Arial" w:hAnsi="Arial" w:cs="Arial"/>
          <w:sz w:val="24"/>
          <w:szCs w:val="24"/>
          <w:lang w:val="pl-PL"/>
        </w:rPr>
        <w:t xml:space="preserve"> </w:t>
      </w:r>
      <w:r w:rsidRPr="00331CE7">
        <w:rPr>
          <w:rFonts w:ascii="Arial" w:hAnsi="Arial" w:cs="Arial"/>
          <w:sz w:val="24"/>
          <w:szCs w:val="24"/>
          <w:lang w:val="pl-PL"/>
        </w:rPr>
        <w:t>z wyjątkiem kosztów rozliczanych stawkami jednostkowymi lub kwotami ryczałtowymi uwzględniającymi koszty pośrednie</w:t>
      </w:r>
      <w:r w:rsidRPr="00331CE7">
        <w:rPr>
          <w:rFonts w:ascii="Arial" w:hAnsi="Arial" w:cs="Arial"/>
          <w:sz w:val="24"/>
          <w:szCs w:val="24"/>
          <w:lang w:val="pl-PL"/>
        </w:rPr>
        <w:t>.</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lastRenderedPageBreak/>
        <w:t>Jednostka pomiaru wskaźnika uruchamiającego zwrot kosztów: PLN</w:t>
      </w:r>
    </w:p>
    <w:p w:rsidR="00895626" w:rsidRPr="00331CE7" w:rsidRDefault="00895626"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Rodzaj SCO (standardowa skala kosztów jednostkowych, płatności ryczałtowe lub stawki zryczałtowane): Stawki ryczałtowa kosztów pośrednich</w:t>
      </w:r>
    </w:p>
    <w:p w:rsidR="008E497E" w:rsidRPr="00331CE7" w:rsidRDefault="00032F71" w:rsidP="00331CE7">
      <w:pPr>
        <w:pStyle w:val="Akapitzlist"/>
        <w:numPr>
          <w:ilvl w:val="0"/>
          <w:numId w:val="15"/>
        </w:numPr>
        <w:spacing w:line="360" w:lineRule="auto"/>
        <w:rPr>
          <w:rFonts w:ascii="Arial" w:hAnsi="Arial" w:cs="Arial"/>
          <w:sz w:val="24"/>
          <w:szCs w:val="24"/>
          <w:lang w:val="pl-PL"/>
        </w:rPr>
      </w:pPr>
      <w:r w:rsidRPr="00331CE7">
        <w:rPr>
          <w:rFonts w:ascii="Arial" w:hAnsi="Arial" w:cs="Arial"/>
          <w:sz w:val="24"/>
          <w:szCs w:val="24"/>
          <w:lang w:val="pl-PL"/>
        </w:rPr>
        <w:t>Kwota (w EUR) lub wartość procentowa (w przypadku stawek zryczałtowanych) SCO:</w:t>
      </w:r>
    </w:p>
    <w:p w:rsidR="00032F71" w:rsidRPr="00331CE7" w:rsidRDefault="00032F71" w:rsidP="004B6F55">
      <w:pPr>
        <w:pStyle w:val="Akapitzlist"/>
        <w:numPr>
          <w:ilvl w:val="0"/>
          <w:numId w:val="21"/>
        </w:numPr>
        <w:spacing w:line="360" w:lineRule="auto"/>
        <w:ind w:left="1134"/>
        <w:rPr>
          <w:rFonts w:ascii="Arial" w:hAnsi="Arial" w:cs="Arial"/>
          <w:sz w:val="24"/>
          <w:szCs w:val="24"/>
          <w:lang w:val="pl-PL"/>
        </w:rPr>
      </w:pPr>
      <w:r w:rsidRPr="00331CE7">
        <w:rPr>
          <w:rFonts w:ascii="Arial" w:hAnsi="Arial" w:cs="Arial"/>
          <w:sz w:val="24"/>
          <w:szCs w:val="24"/>
          <w:lang w:val="pl-PL"/>
        </w:rPr>
        <w:t>25% kosztów bezpośrednich – w przypadku projektów o wartości kosztów bezpośred</w:t>
      </w:r>
      <w:r w:rsidRPr="00331CE7">
        <w:rPr>
          <w:rFonts w:ascii="Arial" w:hAnsi="Arial" w:cs="Arial"/>
          <w:sz w:val="24"/>
          <w:szCs w:val="24"/>
          <w:lang w:val="pl-PL"/>
        </w:rPr>
        <w:t>nich do 830 tys. PLN włącznie</w:t>
      </w:r>
      <w:r w:rsidRPr="00331CE7">
        <w:rPr>
          <w:rStyle w:val="Odwoanieprzypisudolnego"/>
          <w:rFonts w:ascii="Arial" w:hAnsi="Arial" w:cs="Arial"/>
          <w:sz w:val="24"/>
          <w:szCs w:val="24"/>
          <w:lang w:val="pl-PL"/>
        </w:rPr>
        <w:footnoteReference w:id="3"/>
      </w:r>
      <w:r w:rsidR="004B6F55">
        <w:rPr>
          <w:rFonts w:ascii="Arial" w:hAnsi="Arial" w:cs="Arial"/>
          <w:sz w:val="24"/>
          <w:szCs w:val="24"/>
          <w:lang w:val="pl-PL"/>
        </w:rPr>
        <w:t>;</w:t>
      </w:r>
    </w:p>
    <w:p w:rsidR="00032F71" w:rsidRPr="00331CE7" w:rsidRDefault="00032F71" w:rsidP="004B6F55">
      <w:pPr>
        <w:pStyle w:val="Akapitzlist"/>
        <w:numPr>
          <w:ilvl w:val="0"/>
          <w:numId w:val="21"/>
        </w:numPr>
        <w:spacing w:line="360" w:lineRule="auto"/>
        <w:ind w:left="1134"/>
        <w:rPr>
          <w:rFonts w:ascii="Arial" w:hAnsi="Arial" w:cs="Arial"/>
          <w:sz w:val="24"/>
          <w:szCs w:val="24"/>
          <w:lang w:val="pl-PL"/>
        </w:rPr>
      </w:pPr>
      <w:r w:rsidRPr="00331CE7">
        <w:rPr>
          <w:rFonts w:ascii="Arial" w:hAnsi="Arial" w:cs="Arial"/>
          <w:sz w:val="24"/>
          <w:szCs w:val="24"/>
          <w:lang w:val="pl-PL"/>
        </w:rPr>
        <w:t>20% kosztów bezpośrednich – w przypadku projektów o wartości kosztów bezpośrednich powyżej 830 tys.</w:t>
      </w:r>
      <w:r w:rsidRPr="00331CE7">
        <w:rPr>
          <w:rFonts w:ascii="Arial" w:hAnsi="Arial" w:cs="Arial"/>
          <w:sz w:val="24"/>
          <w:szCs w:val="24"/>
          <w:lang w:val="pl-PL"/>
        </w:rPr>
        <w:t xml:space="preserve"> PLN do 1 740 tys. PLN włącznie</w:t>
      </w:r>
      <w:r w:rsidR="00CA0393" w:rsidRPr="00331CE7">
        <w:rPr>
          <w:rFonts w:ascii="Arial" w:hAnsi="Arial" w:cs="Arial"/>
          <w:sz w:val="24"/>
          <w:szCs w:val="24"/>
          <w:vertAlign w:val="superscript"/>
          <w:lang w:val="pl-PL"/>
        </w:rPr>
        <w:t>3</w:t>
      </w:r>
      <w:r w:rsidR="004B6F55">
        <w:rPr>
          <w:rFonts w:ascii="Arial" w:hAnsi="Arial" w:cs="Arial"/>
          <w:sz w:val="24"/>
          <w:szCs w:val="24"/>
          <w:lang w:val="pl-PL"/>
        </w:rPr>
        <w:t>;</w:t>
      </w:r>
    </w:p>
    <w:p w:rsidR="00032F71" w:rsidRPr="00331CE7" w:rsidRDefault="00032F71" w:rsidP="004B6F55">
      <w:pPr>
        <w:pStyle w:val="Akapitzlist"/>
        <w:numPr>
          <w:ilvl w:val="0"/>
          <w:numId w:val="21"/>
        </w:numPr>
        <w:spacing w:line="360" w:lineRule="auto"/>
        <w:ind w:left="1134"/>
        <w:rPr>
          <w:rFonts w:ascii="Arial" w:hAnsi="Arial" w:cs="Arial"/>
          <w:sz w:val="24"/>
          <w:szCs w:val="24"/>
          <w:lang w:val="pl-PL"/>
        </w:rPr>
      </w:pPr>
      <w:r w:rsidRPr="00331CE7">
        <w:rPr>
          <w:rFonts w:ascii="Arial" w:hAnsi="Arial" w:cs="Arial"/>
          <w:sz w:val="24"/>
          <w:szCs w:val="24"/>
          <w:lang w:val="pl-PL"/>
        </w:rPr>
        <w:t>15% kosztów bezpośrednich – w przypadku projektów o wartości kosztów bezpośrednich powyżej 1 740 tys. PLN do 4 550 tys. PLN</w:t>
      </w:r>
      <w:r w:rsidRPr="00331CE7">
        <w:rPr>
          <w:rFonts w:ascii="Arial" w:hAnsi="Arial" w:cs="Arial"/>
          <w:sz w:val="24"/>
          <w:szCs w:val="24"/>
          <w:lang w:val="pl-PL"/>
        </w:rPr>
        <w:t xml:space="preserve"> włącznie</w:t>
      </w:r>
      <w:r w:rsidR="00CA0393" w:rsidRPr="00331CE7">
        <w:rPr>
          <w:rFonts w:ascii="Arial" w:hAnsi="Arial" w:cs="Arial"/>
          <w:sz w:val="24"/>
          <w:szCs w:val="24"/>
          <w:vertAlign w:val="superscript"/>
          <w:lang w:val="pl-PL"/>
        </w:rPr>
        <w:t>3</w:t>
      </w:r>
      <w:r w:rsidR="004B6F55">
        <w:rPr>
          <w:rFonts w:ascii="Arial" w:hAnsi="Arial" w:cs="Arial"/>
          <w:sz w:val="24"/>
          <w:szCs w:val="24"/>
          <w:lang w:val="pl-PL"/>
        </w:rPr>
        <w:t>;</w:t>
      </w:r>
    </w:p>
    <w:p w:rsidR="00032F71" w:rsidRPr="00331CE7" w:rsidRDefault="00032F71" w:rsidP="004B6F55">
      <w:pPr>
        <w:pStyle w:val="Akapitzlist"/>
        <w:numPr>
          <w:ilvl w:val="0"/>
          <w:numId w:val="21"/>
        </w:numPr>
        <w:spacing w:line="360" w:lineRule="auto"/>
        <w:ind w:left="1134"/>
        <w:rPr>
          <w:rFonts w:ascii="Arial" w:hAnsi="Arial" w:cs="Arial"/>
          <w:sz w:val="24"/>
          <w:szCs w:val="24"/>
          <w:lang w:val="pl-PL"/>
        </w:rPr>
      </w:pPr>
      <w:r w:rsidRPr="00331CE7">
        <w:rPr>
          <w:rFonts w:ascii="Arial" w:hAnsi="Arial" w:cs="Arial"/>
          <w:sz w:val="24"/>
          <w:szCs w:val="24"/>
          <w:lang w:val="pl-PL"/>
        </w:rPr>
        <w:t>10% kosztów bezpośrednich – w przypadku projektów o wartości kosztów bezpośrednich</w:t>
      </w:r>
      <w:r w:rsidRPr="00331CE7">
        <w:rPr>
          <w:rFonts w:ascii="Arial" w:hAnsi="Arial" w:cs="Arial"/>
          <w:sz w:val="24"/>
          <w:szCs w:val="24"/>
          <w:lang w:val="pl-PL"/>
        </w:rPr>
        <w:t xml:space="preserve"> przekraczającej 4 550 tys. PLN</w:t>
      </w:r>
      <w:r w:rsidR="00CA0393" w:rsidRPr="00331CE7">
        <w:rPr>
          <w:rFonts w:ascii="Arial" w:hAnsi="Arial" w:cs="Arial"/>
          <w:sz w:val="24"/>
          <w:szCs w:val="24"/>
          <w:vertAlign w:val="superscript"/>
          <w:lang w:val="pl-PL"/>
        </w:rPr>
        <w:t>3</w:t>
      </w:r>
      <w:r w:rsidRPr="00331CE7">
        <w:rPr>
          <w:rFonts w:ascii="Arial" w:hAnsi="Arial" w:cs="Arial"/>
          <w:sz w:val="24"/>
          <w:szCs w:val="24"/>
          <w:lang w:val="pl-PL"/>
        </w:rPr>
        <w:t>.</w:t>
      </w:r>
    </w:p>
    <w:p w:rsidR="00F54182" w:rsidRPr="00331CE7" w:rsidRDefault="00F54182" w:rsidP="00331CE7">
      <w:pPr>
        <w:spacing w:after="0" w:line="360" w:lineRule="auto"/>
        <w:jc w:val="center"/>
        <w:rPr>
          <w:rFonts w:ascii="Arial" w:eastAsia="Calibri" w:hAnsi="Arial" w:cs="Arial"/>
          <w:noProof/>
          <w:sz w:val="24"/>
          <w:szCs w:val="24"/>
        </w:rPr>
        <w:sectPr w:rsidR="00F54182" w:rsidRPr="00331CE7" w:rsidSect="00861462">
          <w:footerReference w:type="default" r:id="rId9"/>
          <w:pgSz w:w="11906" w:h="16838" w:code="9"/>
          <w:pgMar w:top="1134" w:right="1134" w:bottom="1134" w:left="1134" w:header="567" w:footer="567" w:gutter="0"/>
          <w:cols w:space="708"/>
          <w:docGrid w:linePitch="360"/>
        </w:sectPr>
      </w:pPr>
    </w:p>
    <w:p w:rsidR="00861462" w:rsidRPr="00965C64" w:rsidRDefault="005C4A60" w:rsidP="00331CE7">
      <w:pPr>
        <w:pStyle w:val="Nagwek2"/>
        <w:spacing w:line="360" w:lineRule="auto"/>
        <w:ind w:left="426"/>
        <w:rPr>
          <w:sz w:val="26"/>
          <w:szCs w:val="26"/>
          <w:lang w:val="pl-PL"/>
        </w:rPr>
      </w:pPr>
      <w:r w:rsidRPr="00965C64">
        <w:rPr>
          <w:sz w:val="26"/>
          <w:szCs w:val="26"/>
          <w:lang w:val="pl-PL"/>
        </w:rPr>
        <w:lastRenderedPageBreak/>
        <w:t>Szczegółowe informacje w podziale na rodzaj operacji (należy wypełnić dla każdego rodzaju operacji)</w:t>
      </w:r>
    </w:p>
    <w:p w:rsidR="00F54182" w:rsidRPr="00331CE7" w:rsidRDefault="009F64BE" w:rsidP="00331CE7">
      <w:pPr>
        <w:spacing w:line="360" w:lineRule="auto"/>
        <w:rPr>
          <w:rFonts w:ascii="Arial" w:hAnsi="Arial" w:cs="Arial"/>
          <w:sz w:val="24"/>
          <w:szCs w:val="24"/>
        </w:rPr>
      </w:pPr>
      <w:r w:rsidRPr="00331CE7">
        <w:rPr>
          <w:rFonts w:ascii="Arial" w:hAnsi="Arial" w:cs="Arial"/>
          <w:sz w:val="24"/>
          <w:szCs w:val="24"/>
        </w:rPr>
        <w:t>Czy instytucja zarządzająca otrzymała wsparcie od firmy zewnętrznej w celu określenia poniższych kosztów uproszczonych?</w:t>
      </w:r>
    </w:p>
    <w:p w:rsidR="00F54182" w:rsidRPr="00331CE7" w:rsidRDefault="009F64BE" w:rsidP="00331CE7">
      <w:pPr>
        <w:spacing w:line="360" w:lineRule="auto"/>
        <w:rPr>
          <w:rFonts w:ascii="Arial" w:hAnsi="Arial" w:cs="Arial"/>
          <w:b/>
          <w:sz w:val="24"/>
          <w:szCs w:val="24"/>
          <w:bdr w:val="single" w:sz="4" w:space="0" w:color="auto"/>
        </w:rPr>
      </w:pPr>
      <w:r w:rsidRPr="00331CE7">
        <w:rPr>
          <w:rFonts w:ascii="Arial" w:hAnsi="Arial" w:cs="Arial"/>
          <w:sz w:val="24"/>
          <w:szCs w:val="24"/>
        </w:rPr>
        <w:t>Jeśli tak, proszę podać nazwę firmy zewnętrznej:</w:t>
      </w:r>
      <w:r w:rsidR="00F54182" w:rsidRPr="00331CE7">
        <w:rPr>
          <w:rFonts w:ascii="Arial" w:hAnsi="Arial" w:cs="Arial"/>
          <w:b/>
          <w:sz w:val="24"/>
          <w:szCs w:val="24"/>
        </w:rPr>
        <w:tab/>
      </w:r>
      <w:r w:rsidRPr="00331CE7">
        <w:rPr>
          <w:rFonts w:ascii="Arial" w:hAnsi="Arial" w:cs="Arial"/>
          <w:b/>
          <w:sz w:val="24"/>
          <w:szCs w:val="24"/>
          <w:bdr w:val="single" w:sz="4" w:space="0" w:color="auto"/>
        </w:rPr>
        <w:t>Nie</w:t>
      </w:r>
    </w:p>
    <w:p w:rsidR="005B1722" w:rsidRPr="00331CE7" w:rsidRDefault="005B1722" w:rsidP="00331CE7">
      <w:pPr>
        <w:pStyle w:val="Nagwek4"/>
        <w:spacing w:after="120" w:line="360" w:lineRule="auto"/>
        <w:ind w:left="426"/>
        <w:rPr>
          <w:b/>
          <w:szCs w:val="24"/>
        </w:rPr>
      </w:pPr>
      <w:r w:rsidRPr="00331CE7">
        <w:rPr>
          <w:b/>
          <w:szCs w:val="24"/>
        </w:rPr>
        <w:t>Opis rodzaju operacji, w tym harmonogram realizacji</w:t>
      </w:r>
    </w:p>
    <w:p w:rsidR="005B1722" w:rsidRPr="00331CE7" w:rsidRDefault="005B1722" w:rsidP="00331CE7">
      <w:pPr>
        <w:spacing w:line="360" w:lineRule="auto"/>
        <w:rPr>
          <w:rFonts w:ascii="Arial" w:hAnsi="Arial" w:cs="Arial"/>
          <w:sz w:val="24"/>
          <w:szCs w:val="24"/>
          <w:lang w:val="pl-PL"/>
        </w:rPr>
      </w:pPr>
      <w:r w:rsidRPr="00331CE7">
        <w:rPr>
          <w:rFonts w:ascii="Arial" w:hAnsi="Arial" w:cs="Arial"/>
          <w:sz w:val="24"/>
          <w:szCs w:val="24"/>
          <w:lang w:val="pl-PL"/>
        </w:rPr>
        <w:t>Zgodnie z art. 49 projektu rozporządzenia ogólnego na lata 2021-2027, koszty pośrednie operacji mogą być rozliczane z zastosowaniem stawek ryczałtowych. W takim przypadku może zostać zastosowana stawka ryczałtowa w wysokości do 25% kwalifikowalnych kosztów bezpośrednich (art. 49 lit. c). Ponadto, aby umożliwić natychmiastowe wdrożenie stawek ryczałtowych zgodnie z ww. przepisem, wszelkie stawki ryczałtowe ustalone przez państwa członkowskie w latach 2014–2020 zgodnie z art. 67 ust. 5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(dalej: rozporządzenie ogólne nr 1303/2013), mogą nadal być stosowane do podobnych operacji wspieranych na podstawie niniejszego rozporządzenia ogólnego na lata 2021-2027, bez konieczności stosowania nowej metody obliczania. Polska chce skorzystać z tej opcji.</w:t>
      </w:r>
    </w:p>
    <w:p w:rsidR="005B1722" w:rsidRPr="00331CE7" w:rsidRDefault="005B1722" w:rsidP="00D2118A">
      <w:pPr>
        <w:spacing w:after="120" w:line="360" w:lineRule="auto"/>
        <w:rPr>
          <w:rFonts w:ascii="Arial" w:hAnsi="Arial" w:cs="Arial"/>
          <w:sz w:val="24"/>
          <w:szCs w:val="24"/>
          <w:lang w:val="pl-PL"/>
        </w:rPr>
      </w:pPr>
      <w:r w:rsidRPr="00331CE7">
        <w:rPr>
          <w:rFonts w:ascii="Arial" w:hAnsi="Arial" w:cs="Arial"/>
          <w:sz w:val="24"/>
          <w:szCs w:val="24"/>
          <w:lang w:val="pl-PL"/>
        </w:rPr>
        <w:t>Stawka ryczałtowa dotyczy kosztów pośrednich w projektach współfinansowanych ze środków EFS+ za</w:t>
      </w:r>
      <w:bookmarkStart w:id="0" w:name="_GoBack"/>
      <w:bookmarkEnd w:id="0"/>
      <w:r w:rsidRPr="00331CE7">
        <w:rPr>
          <w:rFonts w:ascii="Arial" w:hAnsi="Arial" w:cs="Arial"/>
          <w:sz w:val="24"/>
          <w:szCs w:val="24"/>
          <w:lang w:val="pl-PL"/>
        </w:rPr>
        <w:t xml:space="preserve"> wyjątkiem:</w:t>
      </w:r>
    </w:p>
    <w:p w:rsidR="005B1722" w:rsidRPr="00331CE7" w:rsidRDefault="005B1722" w:rsidP="00331CE7">
      <w:pPr>
        <w:pStyle w:val="Akapitzlist"/>
        <w:numPr>
          <w:ilvl w:val="0"/>
          <w:numId w:val="16"/>
        </w:numPr>
        <w:spacing w:line="360" w:lineRule="auto"/>
        <w:rPr>
          <w:rFonts w:ascii="Arial" w:hAnsi="Arial" w:cs="Arial"/>
          <w:sz w:val="24"/>
          <w:szCs w:val="24"/>
          <w:lang w:val="pl-PL"/>
        </w:rPr>
      </w:pPr>
      <w:r w:rsidRPr="00331CE7">
        <w:rPr>
          <w:rFonts w:ascii="Arial" w:hAnsi="Arial" w:cs="Arial"/>
          <w:sz w:val="24"/>
          <w:szCs w:val="24"/>
          <w:lang w:val="pl-PL"/>
        </w:rPr>
        <w:t>projektów powiatowych urzędów pracy wybieranych w trybie niekonkurencyjnym finansowanych ze środków Funduszu Pracy;</w:t>
      </w:r>
    </w:p>
    <w:p w:rsidR="005B1722" w:rsidRPr="00331CE7" w:rsidRDefault="005B1722" w:rsidP="00331CE7">
      <w:pPr>
        <w:pStyle w:val="Akapitzlist"/>
        <w:numPr>
          <w:ilvl w:val="0"/>
          <w:numId w:val="16"/>
        </w:numPr>
        <w:spacing w:line="360" w:lineRule="auto"/>
        <w:rPr>
          <w:rFonts w:ascii="Arial" w:hAnsi="Arial" w:cs="Arial"/>
          <w:sz w:val="24"/>
          <w:szCs w:val="24"/>
          <w:lang w:val="pl-PL"/>
        </w:rPr>
      </w:pPr>
      <w:r w:rsidRPr="00331CE7">
        <w:rPr>
          <w:rFonts w:ascii="Arial" w:hAnsi="Arial" w:cs="Arial"/>
          <w:sz w:val="24"/>
          <w:szCs w:val="24"/>
          <w:lang w:val="pl-PL"/>
        </w:rPr>
        <w:t xml:space="preserve">projektów rozliczanych w oparciu o stawki jednostkowe uwzględniające koszty pośrednie; </w:t>
      </w:r>
    </w:p>
    <w:p w:rsidR="005B1722" w:rsidRPr="00331CE7" w:rsidRDefault="005B1722" w:rsidP="00331CE7">
      <w:pPr>
        <w:pStyle w:val="Akapitzlist"/>
        <w:numPr>
          <w:ilvl w:val="0"/>
          <w:numId w:val="16"/>
        </w:numPr>
        <w:spacing w:line="360" w:lineRule="auto"/>
        <w:rPr>
          <w:rFonts w:ascii="Arial" w:hAnsi="Arial" w:cs="Arial"/>
          <w:sz w:val="24"/>
          <w:szCs w:val="24"/>
          <w:lang w:val="pl-PL"/>
        </w:rPr>
      </w:pPr>
      <w:r w:rsidRPr="00331CE7">
        <w:rPr>
          <w:rFonts w:ascii="Arial" w:hAnsi="Arial" w:cs="Arial"/>
          <w:sz w:val="24"/>
          <w:szCs w:val="24"/>
          <w:lang w:val="pl-PL"/>
        </w:rPr>
        <w:lastRenderedPageBreak/>
        <w:t>projektów rozliczanych w oparciu o kwoty ryczałtowe uwzględniające koszty pośrednie;</w:t>
      </w:r>
    </w:p>
    <w:p w:rsidR="005B1722" w:rsidRPr="00331CE7" w:rsidRDefault="005B1722" w:rsidP="00331CE7">
      <w:pPr>
        <w:pStyle w:val="Akapitzlist"/>
        <w:numPr>
          <w:ilvl w:val="0"/>
          <w:numId w:val="16"/>
        </w:numPr>
        <w:spacing w:line="360" w:lineRule="auto"/>
        <w:rPr>
          <w:rFonts w:ascii="Arial" w:hAnsi="Arial" w:cs="Arial"/>
          <w:sz w:val="24"/>
          <w:szCs w:val="24"/>
          <w:lang w:val="pl-PL"/>
        </w:rPr>
      </w:pPr>
      <w:r w:rsidRPr="00331CE7">
        <w:rPr>
          <w:rFonts w:ascii="Arial" w:hAnsi="Arial" w:cs="Arial"/>
          <w:sz w:val="24"/>
          <w:szCs w:val="24"/>
          <w:lang w:val="pl-PL"/>
        </w:rPr>
        <w:t>pomocy technicznej.</w:t>
      </w:r>
    </w:p>
    <w:p w:rsidR="005B1722" w:rsidRPr="00331CE7" w:rsidRDefault="005B1722" w:rsidP="00331CE7">
      <w:pPr>
        <w:spacing w:line="360" w:lineRule="auto"/>
        <w:rPr>
          <w:rFonts w:ascii="Arial" w:hAnsi="Arial" w:cs="Arial"/>
          <w:sz w:val="24"/>
          <w:szCs w:val="24"/>
          <w:lang w:val="pl-PL"/>
        </w:rPr>
      </w:pPr>
      <w:r w:rsidRPr="00331CE7">
        <w:rPr>
          <w:rFonts w:ascii="Arial" w:hAnsi="Arial" w:cs="Arial"/>
          <w:sz w:val="24"/>
          <w:szCs w:val="24"/>
          <w:lang w:val="pl-PL"/>
        </w:rPr>
        <w:t xml:space="preserve">Stawka ryczałtowa dotyczy projektów realizowanych w całym okresie programowania 2021-2027. </w:t>
      </w:r>
    </w:p>
    <w:p w:rsidR="005B1722" w:rsidRPr="00331CE7" w:rsidRDefault="005B1722" w:rsidP="00331CE7">
      <w:pPr>
        <w:spacing w:line="360" w:lineRule="auto"/>
        <w:rPr>
          <w:rFonts w:ascii="Arial" w:hAnsi="Arial" w:cs="Arial"/>
          <w:sz w:val="24"/>
          <w:szCs w:val="24"/>
          <w:lang w:val="pl-PL"/>
        </w:rPr>
      </w:pPr>
      <w:r w:rsidRPr="00331CE7">
        <w:rPr>
          <w:rFonts w:ascii="Arial" w:hAnsi="Arial" w:cs="Arial"/>
          <w:sz w:val="24"/>
          <w:szCs w:val="24"/>
          <w:lang w:val="pl-PL"/>
        </w:rPr>
        <w:t xml:space="preserve">Z uwagi na horyzontalny charakter stawki ryczałtowej kosztów pośrednich, może mieć ona zastosowanie w projektach objętych pomocą publiczną  lub pomocą de </w:t>
      </w:r>
      <w:proofErr w:type="spellStart"/>
      <w:r w:rsidRPr="00331CE7">
        <w:rPr>
          <w:rFonts w:ascii="Arial" w:hAnsi="Arial" w:cs="Arial"/>
          <w:sz w:val="24"/>
          <w:szCs w:val="24"/>
          <w:lang w:val="pl-PL"/>
        </w:rPr>
        <w:t>minimis</w:t>
      </w:r>
      <w:proofErr w:type="spellEnd"/>
      <w:r w:rsidRPr="00331CE7">
        <w:rPr>
          <w:rFonts w:ascii="Arial" w:hAnsi="Arial" w:cs="Arial"/>
          <w:sz w:val="24"/>
          <w:szCs w:val="24"/>
          <w:lang w:val="pl-PL"/>
        </w:rPr>
        <w:t>. Nie ma to jednak znaczenia dla wyliczenia poziomu stawki ryczałtowej.</w:t>
      </w:r>
    </w:p>
    <w:p w:rsidR="005B1722" w:rsidRPr="00331CE7" w:rsidRDefault="005B1722" w:rsidP="00331CE7">
      <w:pPr>
        <w:pStyle w:val="Nagwek4"/>
        <w:spacing w:after="120" w:line="360" w:lineRule="auto"/>
        <w:ind w:left="426" w:hanging="431"/>
        <w:rPr>
          <w:b/>
          <w:szCs w:val="24"/>
        </w:rPr>
      </w:pPr>
      <w:r w:rsidRPr="00331CE7">
        <w:rPr>
          <w:b/>
          <w:szCs w:val="24"/>
        </w:rPr>
        <w:t>Cel(e) szczegółowy(-e)</w:t>
      </w:r>
    </w:p>
    <w:p w:rsidR="005B1722" w:rsidRPr="00331CE7" w:rsidRDefault="005B1722" w:rsidP="00331CE7">
      <w:pPr>
        <w:spacing w:line="360" w:lineRule="auto"/>
        <w:rPr>
          <w:rFonts w:ascii="Arial" w:hAnsi="Arial" w:cs="Arial"/>
          <w:sz w:val="24"/>
          <w:szCs w:val="24"/>
          <w:lang w:val="pl-PL"/>
        </w:rPr>
      </w:pPr>
      <w:r w:rsidRPr="00331CE7">
        <w:rPr>
          <w:rFonts w:ascii="Arial" w:hAnsi="Arial" w:cs="Arial"/>
          <w:sz w:val="24"/>
          <w:szCs w:val="24"/>
          <w:lang w:val="pl-PL"/>
        </w:rPr>
        <w:t>Wszystkie,  z wyłączeniem celu szczegółowego m) przeciwdziałanie deprywacji materialnej przez udzielanie pomocy żywnościowej lub podstawowej pomocy materialnej osobom najbardziej potrzebującym, w tym dzieciom, oraz zapewnianie środków towarzyszących wspierających ich włączenie społeczne.</w:t>
      </w:r>
    </w:p>
    <w:p w:rsidR="005B1722" w:rsidRPr="00331CE7" w:rsidRDefault="00FB5A19" w:rsidP="00331CE7">
      <w:pPr>
        <w:pStyle w:val="Nagwek4"/>
        <w:spacing w:after="120" w:line="360" w:lineRule="auto"/>
        <w:ind w:left="426" w:hanging="431"/>
        <w:rPr>
          <w:b/>
          <w:szCs w:val="24"/>
        </w:rPr>
      </w:pPr>
      <w:r w:rsidRPr="00331CE7">
        <w:rPr>
          <w:b/>
          <w:szCs w:val="24"/>
        </w:rPr>
        <w:t>Wskaźnik uruchamiający zwrot kosztów</w:t>
      </w:r>
      <w:r w:rsidRPr="00331CE7">
        <w:rPr>
          <w:rStyle w:val="Odwoanieprzypisudolnego"/>
          <w:b w:val="0"/>
          <w:szCs w:val="24"/>
        </w:rPr>
        <w:footnoteReference w:id="4"/>
      </w:r>
      <w:r w:rsidRPr="00331CE7">
        <w:rPr>
          <w:b/>
          <w:szCs w:val="24"/>
        </w:rPr>
        <w:t xml:space="preserve">  </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Wysokość kwalifikowalnych kosztów bezpośrednich, przy czym  do wysokości kwalifikowalnych kosztów bezpośrednich nie wlicza się kosztów rozliczanych stawkami jednostkowymi lub kwotami ryczałtowymi uwzględniającymi koszty pośrednie.</w:t>
      </w:r>
    </w:p>
    <w:p w:rsidR="00FB5A19" w:rsidRPr="00331CE7" w:rsidRDefault="00FB5A19" w:rsidP="00331CE7">
      <w:pPr>
        <w:pStyle w:val="Nagwek4"/>
        <w:spacing w:after="120" w:line="360" w:lineRule="auto"/>
        <w:ind w:left="426" w:hanging="431"/>
        <w:rPr>
          <w:b/>
          <w:szCs w:val="24"/>
        </w:rPr>
      </w:pPr>
      <w:r w:rsidRPr="00331CE7">
        <w:rPr>
          <w:b/>
          <w:szCs w:val="24"/>
        </w:rPr>
        <w:t>Jednostka pomiaru wskaźnika uruchamiającego zwrot kosztów</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PLN</w:t>
      </w:r>
    </w:p>
    <w:p w:rsidR="00FB5A19" w:rsidRPr="00331CE7" w:rsidRDefault="00FB5A19" w:rsidP="00331CE7">
      <w:pPr>
        <w:pStyle w:val="Nagwek4"/>
        <w:spacing w:after="120" w:line="360" w:lineRule="auto"/>
        <w:ind w:left="426" w:hanging="431"/>
        <w:rPr>
          <w:b/>
          <w:szCs w:val="24"/>
        </w:rPr>
      </w:pPr>
      <w:r w:rsidRPr="00331CE7">
        <w:rPr>
          <w:b/>
          <w:szCs w:val="24"/>
        </w:rPr>
        <w:t>Stawka jednostkowa, stawka ryczałtowa lub kwota ryczałtowa</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Stawka ryczałtowa kosztów pośrednich</w:t>
      </w:r>
    </w:p>
    <w:p w:rsidR="00FB5A19" w:rsidRPr="00331CE7" w:rsidRDefault="00FB5A19" w:rsidP="00331CE7">
      <w:pPr>
        <w:pStyle w:val="Nagwek4"/>
        <w:spacing w:after="120" w:line="360" w:lineRule="auto"/>
        <w:ind w:left="426" w:hanging="431"/>
        <w:rPr>
          <w:b/>
          <w:szCs w:val="24"/>
        </w:rPr>
      </w:pPr>
      <w:r w:rsidRPr="00331CE7">
        <w:rPr>
          <w:b/>
          <w:szCs w:val="24"/>
        </w:rPr>
        <w:t>Kwota na każdą jednostkę pomiaru lub wartość procentowa (w przypadku stawek zryczałtowanych) SCO</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Stawki ryczałtowe kosztów pośrednich:</w:t>
      </w:r>
    </w:p>
    <w:p w:rsidR="00FB5A19" w:rsidRPr="00331CE7" w:rsidRDefault="00FB5A19" w:rsidP="006D4623">
      <w:pPr>
        <w:spacing w:after="120" w:line="360" w:lineRule="auto"/>
        <w:ind w:left="709" w:hanging="425"/>
        <w:rPr>
          <w:rFonts w:ascii="Arial" w:hAnsi="Arial" w:cs="Arial"/>
          <w:sz w:val="24"/>
          <w:szCs w:val="24"/>
          <w:lang w:val="pl-PL"/>
        </w:rPr>
      </w:pPr>
      <w:r w:rsidRPr="00331CE7">
        <w:rPr>
          <w:rFonts w:ascii="Arial" w:hAnsi="Arial" w:cs="Arial"/>
          <w:sz w:val="24"/>
          <w:szCs w:val="24"/>
          <w:lang w:val="pl-PL"/>
        </w:rPr>
        <w:lastRenderedPageBreak/>
        <w:t>a)</w:t>
      </w:r>
      <w:r w:rsidRPr="00331CE7">
        <w:rPr>
          <w:rFonts w:ascii="Arial" w:hAnsi="Arial" w:cs="Arial"/>
          <w:sz w:val="24"/>
          <w:szCs w:val="24"/>
          <w:lang w:val="pl-PL"/>
        </w:rPr>
        <w:tab/>
        <w:t>25% kosztów bezpośrednich – w przypadku projektów o wartości kosztów bezpoś</w:t>
      </w:r>
      <w:r w:rsidR="00B65DC4" w:rsidRPr="00331CE7">
        <w:rPr>
          <w:rFonts w:ascii="Arial" w:hAnsi="Arial" w:cs="Arial"/>
          <w:sz w:val="24"/>
          <w:szCs w:val="24"/>
          <w:lang w:val="pl-PL"/>
        </w:rPr>
        <w:t>rednich do 830 000 PLN włącznie;</w:t>
      </w:r>
    </w:p>
    <w:p w:rsidR="00FB5A19" w:rsidRPr="00331CE7" w:rsidRDefault="00FB5A19" w:rsidP="006D4623">
      <w:pPr>
        <w:spacing w:after="120" w:line="360" w:lineRule="auto"/>
        <w:ind w:left="709" w:hanging="425"/>
        <w:rPr>
          <w:rFonts w:ascii="Arial" w:hAnsi="Arial" w:cs="Arial"/>
          <w:sz w:val="24"/>
          <w:szCs w:val="24"/>
          <w:lang w:val="pl-PL"/>
        </w:rPr>
      </w:pPr>
      <w:r w:rsidRPr="00331CE7">
        <w:rPr>
          <w:rFonts w:ascii="Arial" w:hAnsi="Arial" w:cs="Arial"/>
          <w:sz w:val="24"/>
          <w:szCs w:val="24"/>
          <w:lang w:val="pl-PL"/>
        </w:rPr>
        <w:t>b)</w:t>
      </w:r>
      <w:r w:rsidRPr="00331CE7">
        <w:rPr>
          <w:rFonts w:ascii="Arial" w:hAnsi="Arial" w:cs="Arial"/>
          <w:sz w:val="24"/>
          <w:szCs w:val="24"/>
          <w:lang w:val="pl-PL"/>
        </w:rPr>
        <w:tab/>
        <w:t>20% kosztów bezpośrednich – w przypadku projektów o wartości kosztów bezpośrednich powyżej 830 00</w:t>
      </w:r>
      <w:r w:rsidR="00B65DC4" w:rsidRPr="00331CE7">
        <w:rPr>
          <w:rFonts w:ascii="Arial" w:hAnsi="Arial" w:cs="Arial"/>
          <w:sz w:val="24"/>
          <w:szCs w:val="24"/>
          <w:lang w:val="pl-PL"/>
        </w:rPr>
        <w:t>0 PLN do 1 740 000 PLN włącznie;</w:t>
      </w:r>
    </w:p>
    <w:p w:rsidR="00FB5A19" w:rsidRPr="00331CE7" w:rsidRDefault="00FB5A19" w:rsidP="006D4623">
      <w:pPr>
        <w:spacing w:after="120" w:line="360" w:lineRule="auto"/>
        <w:ind w:left="709" w:hanging="425"/>
        <w:rPr>
          <w:rFonts w:ascii="Arial" w:hAnsi="Arial" w:cs="Arial"/>
          <w:sz w:val="24"/>
          <w:szCs w:val="24"/>
          <w:lang w:val="pl-PL"/>
        </w:rPr>
      </w:pPr>
      <w:r w:rsidRPr="00331CE7">
        <w:rPr>
          <w:rFonts w:ascii="Arial" w:hAnsi="Arial" w:cs="Arial"/>
          <w:sz w:val="24"/>
          <w:szCs w:val="24"/>
          <w:lang w:val="pl-PL"/>
        </w:rPr>
        <w:t>c)</w:t>
      </w:r>
      <w:r w:rsidRPr="00331CE7">
        <w:rPr>
          <w:rFonts w:ascii="Arial" w:hAnsi="Arial" w:cs="Arial"/>
          <w:sz w:val="24"/>
          <w:szCs w:val="24"/>
          <w:lang w:val="pl-PL"/>
        </w:rPr>
        <w:tab/>
        <w:t>15% kosztów bezpośrednich – w przypadku projektów o wartości kosztów bezpośrednich powyżej 1 740 000 PLN do 4 550 000 PL</w:t>
      </w:r>
      <w:r w:rsidR="00B65DC4" w:rsidRPr="00331CE7">
        <w:rPr>
          <w:rFonts w:ascii="Arial" w:hAnsi="Arial" w:cs="Arial"/>
          <w:sz w:val="24"/>
          <w:szCs w:val="24"/>
          <w:lang w:val="pl-PL"/>
        </w:rPr>
        <w:t>N włącznie;</w:t>
      </w:r>
    </w:p>
    <w:p w:rsidR="00FB5A19" w:rsidRPr="00331CE7" w:rsidRDefault="00FB5A19" w:rsidP="006D4623">
      <w:pPr>
        <w:spacing w:after="120" w:line="360" w:lineRule="auto"/>
        <w:ind w:left="709" w:hanging="425"/>
        <w:rPr>
          <w:rFonts w:ascii="Arial" w:hAnsi="Arial" w:cs="Arial"/>
          <w:sz w:val="24"/>
          <w:szCs w:val="24"/>
          <w:lang w:val="pl-PL"/>
        </w:rPr>
      </w:pPr>
      <w:r w:rsidRPr="00331CE7">
        <w:rPr>
          <w:rFonts w:ascii="Arial" w:hAnsi="Arial" w:cs="Arial"/>
          <w:sz w:val="24"/>
          <w:szCs w:val="24"/>
          <w:lang w:val="pl-PL"/>
        </w:rPr>
        <w:t>d)</w:t>
      </w:r>
      <w:r w:rsidRPr="00331CE7">
        <w:rPr>
          <w:rFonts w:ascii="Arial" w:hAnsi="Arial" w:cs="Arial"/>
          <w:sz w:val="24"/>
          <w:szCs w:val="24"/>
          <w:lang w:val="pl-PL"/>
        </w:rPr>
        <w:tab/>
        <w:t>10% kosztów bezpośrednich – w przypadku projektów o wartości kosztów bezpośrednich przekraczającej 4 550 000 PLN</w:t>
      </w:r>
      <w:r w:rsidR="00B65DC4" w:rsidRPr="00331CE7">
        <w:rPr>
          <w:rFonts w:ascii="Arial" w:hAnsi="Arial" w:cs="Arial"/>
          <w:sz w:val="24"/>
          <w:szCs w:val="24"/>
          <w:lang w:val="pl-PL"/>
        </w:rPr>
        <w:t>.</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Koszty bezpośrednie, dla których zastosowanie ma dana stawka ryczałtowa kosztów pośrednich, nie uwzględniają kosztów mechanizmu racjonalnych usprawnień w rozumieniu Wytycznych w zakresie realizacji zasady równości szans i niedyskryminacji, w tym dostępności dla osób z niepełnosprawnościami oraz zasady równości szans kobiet i mężczyzn w ramach fundu</w:t>
      </w:r>
      <w:r w:rsidRPr="00331CE7">
        <w:rPr>
          <w:rFonts w:ascii="Arial" w:hAnsi="Arial" w:cs="Arial"/>
          <w:sz w:val="24"/>
          <w:szCs w:val="24"/>
          <w:lang w:val="pl-PL"/>
        </w:rPr>
        <w:t>szy unijnych na lata 2021-2027</w:t>
      </w:r>
      <w:r w:rsidRPr="00331CE7">
        <w:rPr>
          <w:rStyle w:val="Odwoanieprzypisudolnego"/>
          <w:rFonts w:ascii="Arial" w:hAnsi="Arial" w:cs="Arial"/>
          <w:sz w:val="24"/>
          <w:szCs w:val="24"/>
          <w:lang w:val="pl-PL"/>
        </w:rPr>
        <w:footnoteReference w:id="5"/>
      </w:r>
      <w:r w:rsidRPr="00331CE7">
        <w:rPr>
          <w:rFonts w:ascii="Arial" w:hAnsi="Arial" w:cs="Arial"/>
          <w:sz w:val="24"/>
          <w:szCs w:val="24"/>
          <w:lang w:val="pl-PL"/>
        </w:rPr>
        <w:t>.</w:t>
      </w:r>
    </w:p>
    <w:p w:rsidR="00FB5A19" w:rsidRPr="00331CE7" w:rsidRDefault="00FB5A19" w:rsidP="00331CE7">
      <w:pPr>
        <w:pStyle w:val="Nagwek4"/>
        <w:spacing w:after="120" w:line="360" w:lineRule="auto"/>
        <w:ind w:left="425" w:hanging="431"/>
        <w:rPr>
          <w:b/>
          <w:szCs w:val="24"/>
        </w:rPr>
      </w:pPr>
      <w:r w:rsidRPr="00331CE7">
        <w:rPr>
          <w:b/>
          <w:szCs w:val="24"/>
        </w:rPr>
        <w:t>Kategorie kosztów objęte kosztami jednostkowymi, płatnościami ryczałtowymi lub stawkami zryczałtowanymi</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Stawka ryczałtowa pokrywa wszystkie koszty pośrednie projektu.</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Koszty pośrednie rozumiane są jako koszty administracyjne związane z techniczną obsługą realizacji projektu, która nie wymaga podejmowania merytorycznych działań związanych z osiągnięciem celu projektu, w szczególności:</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a)</w:t>
      </w:r>
      <w:r w:rsidRPr="00331CE7">
        <w:rPr>
          <w:rFonts w:ascii="Arial" w:hAnsi="Arial" w:cs="Arial"/>
          <w:sz w:val="24"/>
          <w:szCs w:val="24"/>
          <w:lang w:val="pl-PL"/>
        </w:rPr>
        <w:tab/>
        <w:t xml:space="preserve">koszty koordynatora lub kierownika projektu oraz innego personelu bezpośrednio angażowanego w zarządzanie, rozliczanie, monitorowanie </w:t>
      </w:r>
      <w:r w:rsidRPr="00331CE7">
        <w:rPr>
          <w:rFonts w:ascii="Arial" w:hAnsi="Arial" w:cs="Arial"/>
          <w:sz w:val="24"/>
          <w:szCs w:val="24"/>
          <w:lang w:val="pl-PL"/>
        </w:rPr>
        <w:lastRenderedPageBreak/>
        <w:t>projektu lub prowadzenie innych działań administracyjnych w projekcie, w tym w szczególności koszty wynagrodzenia tych osób, ich delegacji służbowych i szkoleń oraz koszty związane z wdrażaniem polity</w:t>
      </w:r>
      <w:r w:rsidR="00B65DC4" w:rsidRPr="00331CE7">
        <w:rPr>
          <w:rFonts w:ascii="Arial" w:hAnsi="Arial" w:cs="Arial"/>
          <w:sz w:val="24"/>
          <w:szCs w:val="24"/>
          <w:lang w:val="pl-PL"/>
        </w:rPr>
        <w:t>ki równych szans przez te osoby;</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b)</w:t>
      </w:r>
      <w:r w:rsidRPr="00331CE7">
        <w:rPr>
          <w:rFonts w:ascii="Arial" w:hAnsi="Arial" w:cs="Arial"/>
          <w:sz w:val="24"/>
          <w:szCs w:val="24"/>
          <w:lang w:val="pl-PL"/>
        </w:rPr>
        <w:tab/>
        <w:t>koszty zarządu (koszty wynagrodzenia osób uprawnionych do reprezentowania jednostki, których zakresy czynności nie są przypisane wyłącznie do pro</w:t>
      </w:r>
      <w:r w:rsidR="00B65DC4" w:rsidRPr="00331CE7">
        <w:rPr>
          <w:rFonts w:ascii="Arial" w:hAnsi="Arial" w:cs="Arial"/>
          <w:sz w:val="24"/>
          <w:szCs w:val="24"/>
          <w:lang w:val="pl-PL"/>
        </w:rPr>
        <w:t>jektu, np. kierownik jednostki);</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c)</w:t>
      </w:r>
      <w:r w:rsidRPr="00331CE7">
        <w:rPr>
          <w:rFonts w:ascii="Arial" w:hAnsi="Arial" w:cs="Arial"/>
          <w:sz w:val="24"/>
          <w:szCs w:val="24"/>
          <w:lang w:val="pl-PL"/>
        </w:rPr>
        <w:tab/>
        <w:t>koszty personelu obsługowego (obsługa kadrowa, finansowa, administracyjna, sekretariat, kancelaria, obsługa prawna, w tym ta dotycząca zamówień) na po</w:t>
      </w:r>
      <w:r w:rsidR="00B65DC4" w:rsidRPr="00331CE7">
        <w:rPr>
          <w:rFonts w:ascii="Arial" w:hAnsi="Arial" w:cs="Arial"/>
          <w:sz w:val="24"/>
          <w:szCs w:val="24"/>
          <w:lang w:val="pl-PL"/>
        </w:rPr>
        <w:t>trzeby funkcjonowania jednostki;</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d)</w:t>
      </w:r>
      <w:r w:rsidRPr="00331CE7">
        <w:rPr>
          <w:rFonts w:ascii="Arial" w:hAnsi="Arial" w:cs="Arial"/>
          <w:sz w:val="24"/>
          <w:szCs w:val="24"/>
          <w:lang w:val="pl-PL"/>
        </w:rPr>
        <w:tab/>
        <w:t>koszty obsługi księgowej (wynagrodzenia osób księgujących wydatki w projekcie, w tym zlecenia prowadzenia obsługi księgow</w:t>
      </w:r>
      <w:r w:rsidR="00B65DC4" w:rsidRPr="00331CE7">
        <w:rPr>
          <w:rFonts w:ascii="Arial" w:hAnsi="Arial" w:cs="Arial"/>
          <w:sz w:val="24"/>
          <w:szCs w:val="24"/>
          <w:lang w:val="pl-PL"/>
        </w:rPr>
        <w:t>ej projektu biuru rachunkowemu);</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e)</w:t>
      </w:r>
      <w:r w:rsidRPr="00331CE7">
        <w:rPr>
          <w:rFonts w:ascii="Arial" w:hAnsi="Arial" w:cs="Arial"/>
          <w:sz w:val="24"/>
          <w:szCs w:val="24"/>
          <w:lang w:val="pl-PL"/>
        </w:rPr>
        <w:tab/>
        <w:t>koszty utrzymania powierzchni biurowych (czynsz, najem, opłaty administracyjne) związanych z obsługą</w:t>
      </w:r>
      <w:r w:rsidR="00B65DC4" w:rsidRPr="00331CE7">
        <w:rPr>
          <w:rFonts w:ascii="Arial" w:hAnsi="Arial" w:cs="Arial"/>
          <w:sz w:val="24"/>
          <w:szCs w:val="24"/>
          <w:lang w:val="pl-PL"/>
        </w:rPr>
        <w:t xml:space="preserve"> administracyjną projektu;</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f)</w:t>
      </w:r>
      <w:r w:rsidRPr="00331CE7">
        <w:rPr>
          <w:rFonts w:ascii="Arial" w:hAnsi="Arial" w:cs="Arial"/>
          <w:sz w:val="24"/>
          <w:szCs w:val="24"/>
          <w:lang w:val="pl-PL"/>
        </w:rPr>
        <w:tab/>
        <w:t xml:space="preserve">wydatki związane z otworzeniem lub prowadzeniem wyodrębnionego na rzecz projektu subkonta na rachunku płatniczego lub </w:t>
      </w:r>
      <w:r w:rsidR="00B65DC4" w:rsidRPr="00331CE7">
        <w:rPr>
          <w:rFonts w:ascii="Arial" w:hAnsi="Arial" w:cs="Arial"/>
          <w:sz w:val="24"/>
          <w:szCs w:val="24"/>
          <w:lang w:val="pl-PL"/>
        </w:rPr>
        <w:t>odrębnego rachunku płatniczego;</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g)</w:t>
      </w:r>
      <w:r w:rsidRPr="00331CE7">
        <w:rPr>
          <w:rFonts w:ascii="Arial" w:hAnsi="Arial" w:cs="Arial"/>
          <w:sz w:val="24"/>
          <w:szCs w:val="24"/>
          <w:lang w:val="pl-PL"/>
        </w:rPr>
        <w:tab/>
        <w:t>działania informacyjno-promocyjne projektu (np. zakup materiałów promocyjnych i informacyjnych, zakup ogłoszeń prasowych, utworzenie i prowadzenie strony internetowej o projekcie, oznakowanie p</w:t>
      </w:r>
      <w:r w:rsidR="00B65DC4" w:rsidRPr="00331CE7">
        <w:rPr>
          <w:rFonts w:ascii="Arial" w:hAnsi="Arial" w:cs="Arial"/>
          <w:sz w:val="24"/>
          <w:szCs w:val="24"/>
          <w:lang w:val="pl-PL"/>
        </w:rPr>
        <w:t>rojektu, plakaty, ulotki, itp.);</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h)</w:t>
      </w:r>
      <w:r w:rsidRPr="00331CE7">
        <w:rPr>
          <w:rFonts w:ascii="Arial" w:hAnsi="Arial" w:cs="Arial"/>
          <w:sz w:val="24"/>
          <w:szCs w:val="24"/>
          <w:lang w:val="pl-PL"/>
        </w:rPr>
        <w:tab/>
        <w:t>amortyzacja, najem lub zakup aktywów (środków trwałych i wartości niematerialnych i prawnych) używanych na potrzeby os</w:t>
      </w:r>
      <w:r w:rsidR="00B65DC4" w:rsidRPr="00331CE7">
        <w:rPr>
          <w:rFonts w:ascii="Arial" w:hAnsi="Arial" w:cs="Arial"/>
          <w:sz w:val="24"/>
          <w:szCs w:val="24"/>
          <w:lang w:val="pl-PL"/>
        </w:rPr>
        <w:t>ób, o których mowa w lit. a – d;</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i)</w:t>
      </w:r>
      <w:r w:rsidRPr="00331CE7">
        <w:rPr>
          <w:rFonts w:ascii="Arial" w:hAnsi="Arial" w:cs="Arial"/>
          <w:sz w:val="24"/>
          <w:szCs w:val="24"/>
          <w:lang w:val="pl-PL"/>
        </w:rPr>
        <w:tab/>
        <w:t>opłaty za energię elektryczną, cieplną, gazową i wodę, opłaty przesyłowe, opłaty za odprowadzanie ścieków w zakresie związanym z o</w:t>
      </w:r>
      <w:r w:rsidR="00B65DC4" w:rsidRPr="00331CE7">
        <w:rPr>
          <w:rFonts w:ascii="Arial" w:hAnsi="Arial" w:cs="Arial"/>
          <w:sz w:val="24"/>
          <w:szCs w:val="24"/>
          <w:lang w:val="pl-PL"/>
        </w:rPr>
        <w:t>bsługą administracyjną projektu;</w:t>
      </w:r>
    </w:p>
    <w:p w:rsidR="00FB5A19" w:rsidRPr="00331CE7" w:rsidRDefault="00FB5A19" w:rsidP="008E0ADD">
      <w:pPr>
        <w:spacing w:after="120" w:line="360" w:lineRule="auto"/>
        <w:ind w:left="567" w:hanging="426"/>
        <w:rPr>
          <w:rFonts w:ascii="Arial" w:hAnsi="Arial" w:cs="Arial"/>
          <w:sz w:val="24"/>
          <w:szCs w:val="24"/>
          <w:lang w:val="pl-PL"/>
        </w:rPr>
      </w:pPr>
      <w:r w:rsidRPr="00331CE7">
        <w:rPr>
          <w:rFonts w:ascii="Arial" w:hAnsi="Arial" w:cs="Arial"/>
          <w:sz w:val="24"/>
          <w:szCs w:val="24"/>
          <w:lang w:val="pl-PL"/>
        </w:rPr>
        <w:t>j)</w:t>
      </w:r>
      <w:r w:rsidRPr="00331CE7">
        <w:rPr>
          <w:rFonts w:ascii="Arial" w:hAnsi="Arial" w:cs="Arial"/>
          <w:sz w:val="24"/>
          <w:szCs w:val="24"/>
          <w:lang w:val="pl-PL"/>
        </w:rPr>
        <w:tab/>
        <w:t>koszty usług pocztowych, telefonicznych, internetowych, kurierskich związanych z o</w:t>
      </w:r>
      <w:r w:rsidR="00B65DC4" w:rsidRPr="00331CE7">
        <w:rPr>
          <w:rFonts w:ascii="Arial" w:hAnsi="Arial" w:cs="Arial"/>
          <w:sz w:val="24"/>
          <w:szCs w:val="24"/>
          <w:lang w:val="pl-PL"/>
        </w:rPr>
        <w:t>bsługą administracyjną projektu;</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lastRenderedPageBreak/>
        <w:t>k)</w:t>
      </w:r>
      <w:r w:rsidRPr="00331CE7">
        <w:rPr>
          <w:rFonts w:ascii="Arial" w:hAnsi="Arial" w:cs="Arial"/>
          <w:sz w:val="24"/>
          <w:szCs w:val="24"/>
          <w:lang w:val="pl-PL"/>
        </w:rPr>
        <w:tab/>
        <w:t>koszty biurowe związane z obsługą administracyjną projektu (np. zakup materiałów biurowych i artykułów piśmienniczych, koszt</w:t>
      </w:r>
      <w:r w:rsidR="00B65DC4" w:rsidRPr="00331CE7">
        <w:rPr>
          <w:rFonts w:ascii="Arial" w:hAnsi="Arial" w:cs="Arial"/>
          <w:sz w:val="24"/>
          <w:szCs w:val="24"/>
          <w:lang w:val="pl-PL"/>
        </w:rPr>
        <w:t>y usług powielania dokumentów);</w:t>
      </w:r>
    </w:p>
    <w:p w:rsidR="00FB5A19" w:rsidRPr="00331CE7" w:rsidRDefault="00FB5A19" w:rsidP="008E0ADD">
      <w:pPr>
        <w:spacing w:after="120" w:line="360" w:lineRule="auto"/>
        <w:ind w:left="567" w:hanging="425"/>
        <w:rPr>
          <w:rFonts w:ascii="Arial" w:hAnsi="Arial" w:cs="Arial"/>
          <w:sz w:val="24"/>
          <w:szCs w:val="24"/>
          <w:lang w:val="pl-PL"/>
        </w:rPr>
      </w:pPr>
      <w:r w:rsidRPr="00331CE7">
        <w:rPr>
          <w:rFonts w:ascii="Arial" w:hAnsi="Arial" w:cs="Arial"/>
          <w:sz w:val="24"/>
          <w:szCs w:val="24"/>
          <w:lang w:val="pl-PL"/>
        </w:rPr>
        <w:t>l)</w:t>
      </w:r>
      <w:r w:rsidRPr="00331CE7">
        <w:rPr>
          <w:rFonts w:ascii="Arial" w:hAnsi="Arial" w:cs="Arial"/>
          <w:sz w:val="24"/>
          <w:szCs w:val="24"/>
          <w:lang w:val="pl-PL"/>
        </w:rPr>
        <w:tab/>
        <w:t>koszty zabezpieczen</w:t>
      </w:r>
      <w:r w:rsidR="00B65DC4" w:rsidRPr="00331CE7">
        <w:rPr>
          <w:rFonts w:ascii="Arial" w:hAnsi="Arial" w:cs="Arial"/>
          <w:sz w:val="24"/>
          <w:szCs w:val="24"/>
          <w:lang w:val="pl-PL"/>
        </w:rPr>
        <w:t>ia prawidłowej realizacji umowy;</w:t>
      </w:r>
    </w:p>
    <w:p w:rsidR="00FB5A19" w:rsidRPr="00331CE7" w:rsidRDefault="00FB5A19" w:rsidP="008E0ADD">
      <w:pPr>
        <w:spacing w:after="240" w:line="360" w:lineRule="auto"/>
        <w:ind w:left="567" w:hanging="425"/>
        <w:rPr>
          <w:rFonts w:ascii="Arial" w:hAnsi="Arial" w:cs="Arial"/>
          <w:sz w:val="24"/>
          <w:szCs w:val="24"/>
          <w:lang w:val="pl-PL"/>
        </w:rPr>
      </w:pPr>
      <w:r w:rsidRPr="00331CE7">
        <w:rPr>
          <w:rFonts w:ascii="Arial" w:hAnsi="Arial" w:cs="Arial"/>
          <w:sz w:val="24"/>
          <w:szCs w:val="24"/>
          <w:lang w:val="pl-PL"/>
        </w:rPr>
        <w:t>m)</w:t>
      </w:r>
      <w:r w:rsidRPr="00331CE7">
        <w:rPr>
          <w:rFonts w:ascii="Arial" w:hAnsi="Arial" w:cs="Arial"/>
          <w:sz w:val="24"/>
          <w:szCs w:val="24"/>
          <w:lang w:val="pl-PL"/>
        </w:rPr>
        <w:tab/>
        <w:t>koszty ubezpieczeń majątkowych.</w:t>
      </w:r>
    </w:p>
    <w:p w:rsidR="00FB5A19" w:rsidRPr="00331CE7" w:rsidRDefault="00FB5A19" w:rsidP="00331CE7">
      <w:pPr>
        <w:pStyle w:val="Nagwek4"/>
        <w:spacing w:line="360" w:lineRule="auto"/>
        <w:ind w:left="567"/>
        <w:rPr>
          <w:b/>
          <w:szCs w:val="24"/>
        </w:rPr>
      </w:pPr>
      <w:r w:rsidRPr="00331CE7">
        <w:rPr>
          <w:b/>
          <w:szCs w:val="24"/>
        </w:rPr>
        <w:t>Czy wymienione kategorie kosztów pokrywają wszystkie wydatki kwalifikowalne w ramach danej operacji? (T/N)</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 xml:space="preserve">Nie. </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W ramach stawki rycz</w:t>
      </w:r>
      <w:r w:rsidR="00B10BD4">
        <w:rPr>
          <w:rFonts w:ascii="Arial" w:hAnsi="Arial" w:cs="Arial"/>
          <w:sz w:val="24"/>
          <w:szCs w:val="24"/>
          <w:lang w:val="pl-PL"/>
        </w:rPr>
        <w:t>a</w:t>
      </w:r>
      <w:r w:rsidRPr="00331CE7">
        <w:rPr>
          <w:rFonts w:ascii="Arial" w:hAnsi="Arial" w:cs="Arial"/>
          <w:sz w:val="24"/>
          <w:szCs w:val="24"/>
          <w:lang w:val="pl-PL"/>
        </w:rPr>
        <w:t>łtowej pokrywane są wyłącznie koszty pośrednie projektu. Poza stawką ryczałtową rozliczane są koszty bezpośrednie projektu na podstawie rzeczywiście ponoszonych wydatków lub uproszczonych metod (tj. stawek jednostkowych lub kwot ryczałtowych), w których wyliczeniu nie uwzględniono kosztów pośrednich. W ramach kosztów pośrednich nie są wykazywane żadne wydatki objęte cross-</w:t>
      </w:r>
      <w:proofErr w:type="spellStart"/>
      <w:r w:rsidRPr="00331CE7">
        <w:rPr>
          <w:rFonts w:ascii="Arial" w:hAnsi="Arial" w:cs="Arial"/>
          <w:sz w:val="24"/>
          <w:szCs w:val="24"/>
          <w:lang w:val="pl-PL"/>
        </w:rPr>
        <w:t>financingiem</w:t>
      </w:r>
      <w:proofErr w:type="spellEnd"/>
      <w:r w:rsidRPr="00331CE7">
        <w:rPr>
          <w:rFonts w:ascii="Arial" w:hAnsi="Arial" w:cs="Arial"/>
          <w:sz w:val="24"/>
          <w:szCs w:val="24"/>
          <w:lang w:val="pl-PL"/>
        </w:rPr>
        <w:t>. W kosztach pośrednich nie są ujmowane żadne wydatki ponoszone w związku z działaniami merytorycznymi projektu (takimi jak np. aktywna rekrutacja uczestników projektu (</w:t>
      </w:r>
      <w:proofErr w:type="spellStart"/>
      <w:r w:rsidRPr="00331CE7">
        <w:rPr>
          <w:rFonts w:ascii="Arial" w:hAnsi="Arial" w:cs="Arial"/>
          <w:sz w:val="24"/>
          <w:szCs w:val="24"/>
          <w:lang w:val="pl-PL"/>
        </w:rPr>
        <w:t>outreach</w:t>
      </w:r>
      <w:proofErr w:type="spellEnd"/>
      <w:r w:rsidRPr="00331CE7">
        <w:rPr>
          <w:rFonts w:ascii="Arial" w:hAnsi="Arial" w:cs="Arial"/>
          <w:sz w:val="24"/>
          <w:szCs w:val="24"/>
          <w:lang w:val="pl-PL"/>
        </w:rPr>
        <w:t xml:space="preserve"> </w:t>
      </w:r>
      <w:proofErr w:type="spellStart"/>
      <w:r w:rsidRPr="00331CE7">
        <w:rPr>
          <w:rFonts w:ascii="Arial" w:hAnsi="Arial" w:cs="Arial"/>
          <w:sz w:val="24"/>
          <w:szCs w:val="24"/>
          <w:lang w:val="pl-PL"/>
        </w:rPr>
        <w:t>measures</w:t>
      </w:r>
      <w:proofErr w:type="spellEnd"/>
      <w:r w:rsidRPr="00331CE7">
        <w:rPr>
          <w:rFonts w:ascii="Arial" w:hAnsi="Arial" w:cs="Arial"/>
          <w:sz w:val="24"/>
          <w:szCs w:val="24"/>
          <w:lang w:val="pl-PL"/>
        </w:rPr>
        <w:t>), działania na ich rzecz, działania na rzecz zmian systemu i struktur).</w:t>
      </w:r>
    </w:p>
    <w:p w:rsidR="00FB5A19" w:rsidRPr="00331CE7" w:rsidRDefault="00FB5A19" w:rsidP="00331CE7">
      <w:pPr>
        <w:pStyle w:val="Nagwek4"/>
        <w:spacing w:after="120" w:line="360" w:lineRule="auto"/>
        <w:ind w:left="425" w:hanging="431"/>
        <w:rPr>
          <w:b/>
          <w:szCs w:val="24"/>
        </w:rPr>
      </w:pPr>
      <w:r w:rsidRPr="00331CE7">
        <w:rPr>
          <w:b/>
          <w:szCs w:val="24"/>
        </w:rPr>
        <w:t>Metoda korekt(y)</w:t>
      </w:r>
      <w:r w:rsidRPr="00331CE7">
        <w:rPr>
          <w:rStyle w:val="Odwoanieprzypisudolnego"/>
          <w:b w:val="0"/>
          <w:szCs w:val="24"/>
        </w:rPr>
        <w:footnoteReference w:id="6"/>
      </w:r>
      <w:r w:rsidRPr="00331CE7">
        <w:rPr>
          <w:b/>
          <w:szCs w:val="24"/>
        </w:rPr>
        <w:t xml:space="preserve">  </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Nie zakłada się indeksacji stawek ryczałtowych.</w:t>
      </w:r>
    </w:p>
    <w:p w:rsidR="00FB5A19" w:rsidRPr="00331CE7" w:rsidRDefault="00FB5A19" w:rsidP="00331CE7">
      <w:pPr>
        <w:pStyle w:val="Nagwek4"/>
        <w:spacing w:line="360" w:lineRule="auto"/>
        <w:ind w:left="426"/>
        <w:rPr>
          <w:b/>
          <w:szCs w:val="24"/>
        </w:rPr>
      </w:pPr>
      <w:r w:rsidRPr="00331CE7">
        <w:rPr>
          <w:b/>
          <w:szCs w:val="24"/>
        </w:rPr>
        <w:t>Weryfikacja osiągnięcia jednostek</w:t>
      </w:r>
    </w:p>
    <w:p w:rsidR="00B65DC4" w:rsidRPr="006D4623" w:rsidRDefault="00FB5A19" w:rsidP="00331CE7">
      <w:pPr>
        <w:pStyle w:val="Akapitzlist"/>
        <w:numPr>
          <w:ilvl w:val="0"/>
          <w:numId w:val="18"/>
        </w:numPr>
        <w:spacing w:line="360" w:lineRule="auto"/>
        <w:rPr>
          <w:rFonts w:ascii="Arial" w:hAnsi="Arial" w:cs="Arial"/>
          <w:sz w:val="24"/>
          <w:szCs w:val="24"/>
          <w:lang w:val="pl-PL"/>
        </w:rPr>
      </w:pPr>
      <w:r w:rsidRPr="006D4623">
        <w:rPr>
          <w:rFonts w:ascii="Arial" w:hAnsi="Arial" w:cs="Arial"/>
          <w:sz w:val="24"/>
          <w:szCs w:val="24"/>
          <w:lang w:val="pl-PL"/>
        </w:rPr>
        <w:t>należy opisać, jaki(e) dokument(y)/system będzie(-ą) wykorzystany(-e) w celu sprawdzenia, czy osiągnięto dostarczone jednostki</w:t>
      </w:r>
      <w:r w:rsidR="00082C7B" w:rsidRPr="006D4623">
        <w:rPr>
          <w:rFonts w:ascii="Arial" w:hAnsi="Arial" w:cs="Arial"/>
          <w:sz w:val="24"/>
          <w:szCs w:val="24"/>
          <w:lang w:val="pl-PL"/>
        </w:rPr>
        <w:t>;</w:t>
      </w:r>
    </w:p>
    <w:p w:rsidR="00B65DC4" w:rsidRPr="006D4623" w:rsidRDefault="00FB5A19" w:rsidP="00331CE7">
      <w:pPr>
        <w:pStyle w:val="Akapitzlist"/>
        <w:numPr>
          <w:ilvl w:val="0"/>
          <w:numId w:val="18"/>
        </w:numPr>
        <w:spacing w:line="360" w:lineRule="auto"/>
        <w:rPr>
          <w:rFonts w:ascii="Arial" w:hAnsi="Arial" w:cs="Arial"/>
          <w:sz w:val="24"/>
          <w:szCs w:val="24"/>
          <w:lang w:val="pl-PL"/>
        </w:rPr>
      </w:pPr>
      <w:r w:rsidRPr="006D4623">
        <w:rPr>
          <w:rFonts w:ascii="Arial" w:hAnsi="Arial" w:cs="Arial"/>
          <w:sz w:val="24"/>
          <w:szCs w:val="24"/>
          <w:lang w:val="pl-PL"/>
        </w:rPr>
        <w:t xml:space="preserve"> należy opisać, co będzie sprawdzane w trakcie kontroli zarządczych i przez kogo</w:t>
      </w:r>
      <w:r w:rsidR="00082C7B" w:rsidRPr="006D4623">
        <w:rPr>
          <w:rFonts w:ascii="Arial" w:hAnsi="Arial" w:cs="Arial"/>
          <w:sz w:val="24"/>
          <w:szCs w:val="24"/>
          <w:lang w:val="pl-PL"/>
        </w:rPr>
        <w:t>;</w:t>
      </w:r>
    </w:p>
    <w:p w:rsidR="00FB5A19" w:rsidRPr="006D4623" w:rsidRDefault="00FB5A19" w:rsidP="00331CE7">
      <w:pPr>
        <w:pStyle w:val="Akapitzlist"/>
        <w:numPr>
          <w:ilvl w:val="0"/>
          <w:numId w:val="18"/>
        </w:numPr>
        <w:spacing w:line="360" w:lineRule="auto"/>
        <w:rPr>
          <w:rFonts w:ascii="Arial" w:hAnsi="Arial" w:cs="Arial"/>
          <w:sz w:val="24"/>
          <w:szCs w:val="24"/>
          <w:lang w:val="pl-PL"/>
        </w:rPr>
      </w:pPr>
      <w:r w:rsidRPr="006D4623">
        <w:rPr>
          <w:rFonts w:ascii="Arial" w:hAnsi="Arial" w:cs="Arial"/>
          <w:sz w:val="24"/>
          <w:szCs w:val="24"/>
          <w:lang w:val="pl-PL"/>
        </w:rPr>
        <w:t>należy opisać, jakie ustalenia zostaną przyjęte w celu gromadzenia i przechowywania stosownych danych/dokumentów</w:t>
      </w:r>
      <w:r w:rsidR="00082C7B" w:rsidRPr="006D4623">
        <w:rPr>
          <w:rFonts w:ascii="Arial" w:hAnsi="Arial" w:cs="Arial"/>
          <w:sz w:val="24"/>
          <w:szCs w:val="24"/>
          <w:lang w:val="pl-PL"/>
        </w:rPr>
        <w:t>.</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t xml:space="preserve">Właściwa dla danego projektu stawka ryczałtowa będzie wskazywana w umowie o dofinansowanie. </w:t>
      </w:r>
    </w:p>
    <w:p w:rsidR="00FB5A19" w:rsidRPr="00331CE7" w:rsidRDefault="00FB5A19" w:rsidP="00331CE7">
      <w:pPr>
        <w:spacing w:line="360" w:lineRule="auto"/>
        <w:rPr>
          <w:rFonts w:ascii="Arial" w:hAnsi="Arial" w:cs="Arial"/>
          <w:sz w:val="24"/>
          <w:szCs w:val="24"/>
          <w:lang w:val="pl-PL"/>
        </w:rPr>
      </w:pPr>
      <w:r w:rsidRPr="00331CE7">
        <w:rPr>
          <w:rFonts w:ascii="Arial" w:hAnsi="Arial" w:cs="Arial"/>
          <w:sz w:val="24"/>
          <w:szCs w:val="24"/>
          <w:lang w:val="pl-PL"/>
        </w:rPr>
        <w:lastRenderedPageBreak/>
        <w:t>Dokumentowanie będzie dotyczyć wyłącznie kosztów bezpośrednich będących podstawą do naliczenia stawki kosztów pośrednich.</w:t>
      </w:r>
    </w:p>
    <w:p w:rsidR="00FB5A19" w:rsidRPr="00331CE7" w:rsidRDefault="00FB5A19" w:rsidP="008E0ADD">
      <w:pPr>
        <w:spacing w:after="120" w:line="360" w:lineRule="auto"/>
        <w:rPr>
          <w:rFonts w:ascii="Arial" w:hAnsi="Arial" w:cs="Arial"/>
          <w:sz w:val="24"/>
          <w:szCs w:val="24"/>
          <w:lang w:val="pl-PL"/>
        </w:rPr>
      </w:pPr>
      <w:r w:rsidRPr="00331CE7">
        <w:rPr>
          <w:rFonts w:ascii="Arial" w:hAnsi="Arial" w:cs="Arial"/>
          <w:sz w:val="24"/>
          <w:szCs w:val="24"/>
          <w:lang w:val="pl-PL"/>
        </w:rPr>
        <w:t>Weryfikacja wydatków w ramach projektu obejmuje:</w:t>
      </w:r>
    </w:p>
    <w:p w:rsidR="00FB5A19" w:rsidRPr="00331CE7" w:rsidRDefault="00FB5A19" w:rsidP="00331CE7">
      <w:pPr>
        <w:pStyle w:val="Akapitzlist"/>
        <w:numPr>
          <w:ilvl w:val="0"/>
          <w:numId w:val="17"/>
        </w:numPr>
        <w:spacing w:line="360" w:lineRule="auto"/>
        <w:rPr>
          <w:rFonts w:ascii="Arial" w:hAnsi="Arial" w:cs="Arial"/>
          <w:sz w:val="24"/>
          <w:szCs w:val="24"/>
          <w:lang w:val="pl-PL"/>
        </w:rPr>
      </w:pPr>
      <w:r w:rsidRPr="00331CE7">
        <w:rPr>
          <w:rFonts w:ascii="Arial" w:hAnsi="Arial" w:cs="Arial"/>
          <w:sz w:val="24"/>
          <w:szCs w:val="24"/>
          <w:lang w:val="pl-PL"/>
        </w:rPr>
        <w:t>weryfikację wniosków o płatność, w których beneficjent wykazuje do rozliczenia koszty bezpośrednie, od których naliczane będą koszty pośrednie; kwalifikowalność kosztów bezpośrednich oraz prawidłowość zastosowanej stawki ryczałtowej będą weryfikowane przez instytucję pośredniczącą lub zarządzającą podczas weryfikacji wniosków o płatność;</w:t>
      </w:r>
    </w:p>
    <w:p w:rsidR="00FB5A19" w:rsidRPr="00331CE7" w:rsidRDefault="00FB5A19" w:rsidP="00331CE7">
      <w:pPr>
        <w:pStyle w:val="Akapitzlist"/>
        <w:numPr>
          <w:ilvl w:val="0"/>
          <w:numId w:val="17"/>
        </w:numPr>
        <w:spacing w:line="360" w:lineRule="auto"/>
        <w:rPr>
          <w:rFonts w:ascii="Arial" w:hAnsi="Arial" w:cs="Arial"/>
          <w:sz w:val="24"/>
          <w:szCs w:val="24"/>
          <w:lang w:val="pl-PL"/>
        </w:rPr>
      </w:pPr>
      <w:r w:rsidRPr="00331CE7">
        <w:rPr>
          <w:rFonts w:ascii="Arial" w:hAnsi="Arial" w:cs="Arial"/>
          <w:sz w:val="24"/>
          <w:szCs w:val="24"/>
          <w:lang w:val="pl-PL"/>
        </w:rPr>
        <w:t>kontrole projektu na miejscu, tj. kontrolę w siedzibie beneficjenta i wizyty monitorujące (odbywają się na określonych próbach i w przypadku ich realizacji weryfikowane są także na określonych próbach dokumenty źródłowe, na podstawie których następuje potwierdzenie kwalifikowalności wydatków bezpośrednich, od których naliczane są koszty pośrednie).</w:t>
      </w:r>
    </w:p>
    <w:p w:rsidR="00FB5A19" w:rsidRPr="00331CE7" w:rsidRDefault="00FB5A19" w:rsidP="00331CE7">
      <w:pPr>
        <w:pStyle w:val="Akapitzlist"/>
        <w:spacing w:line="360" w:lineRule="auto"/>
        <w:rPr>
          <w:rFonts w:ascii="Arial" w:hAnsi="Arial" w:cs="Arial"/>
          <w:sz w:val="24"/>
          <w:szCs w:val="24"/>
          <w:lang w:val="pl-PL"/>
        </w:rPr>
      </w:pPr>
    </w:p>
    <w:p w:rsidR="00C552B3" w:rsidRPr="00331CE7" w:rsidRDefault="00C552B3" w:rsidP="00331CE7">
      <w:pPr>
        <w:pStyle w:val="Nagwek4"/>
        <w:spacing w:after="120" w:line="360" w:lineRule="auto"/>
        <w:ind w:left="567" w:hanging="431"/>
        <w:rPr>
          <w:b/>
          <w:szCs w:val="24"/>
        </w:rPr>
      </w:pPr>
      <w:r w:rsidRPr="00331CE7">
        <w:rPr>
          <w:b/>
          <w:szCs w:val="24"/>
        </w:rPr>
        <w:t>Możliwe niepożądane zachęty, środki łagodzące  oraz szacowany poziom ryzyka (wysoki/średni/niski)</w:t>
      </w:r>
    </w:p>
    <w:p w:rsidR="00C552B3" w:rsidRPr="00331CE7" w:rsidRDefault="00C552B3" w:rsidP="00331CE7">
      <w:pPr>
        <w:spacing w:line="360" w:lineRule="auto"/>
        <w:rPr>
          <w:rFonts w:ascii="Arial" w:hAnsi="Arial" w:cs="Arial"/>
          <w:sz w:val="24"/>
          <w:szCs w:val="24"/>
          <w:lang w:val="pl-PL"/>
        </w:rPr>
      </w:pPr>
      <w:r w:rsidRPr="00331CE7">
        <w:rPr>
          <w:rFonts w:ascii="Arial" w:hAnsi="Arial" w:cs="Arial"/>
          <w:sz w:val="24"/>
          <w:szCs w:val="24"/>
          <w:lang w:val="pl-PL"/>
        </w:rPr>
        <w:t>W związku z faktem, że ryczałtowy sposób rozliczania kosztów pośrednich w projektach EFS był stosowany już w per</w:t>
      </w:r>
      <w:r w:rsidRPr="00331CE7">
        <w:rPr>
          <w:rFonts w:ascii="Arial" w:hAnsi="Arial" w:cs="Arial"/>
          <w:sz w:val="24"/>
          <w:szCs w:val="24"/>
          <w:lang w:val="pl-PL"/>
        </w:rPr>
        <w:t>s</w:t>
      </w:r>
      <w:r w:rsidRPr="00331CE7">
        <w:rPr>
          <w:rFonts w:ascii="Arial" w:hAnsi="Arial" w:cs="Arial"/>
          <w:sz w:val="24"/>
          <w:szCs w:val="24"/>
          <w:lang w:val="pl-PL"/>
        </w:rPr>
        <w:t>pektywie finansowej 2007-2013 oraz 2014-2020, należy uznać, że ryzyko w tym obszarze jest niskie. W dalszym ciągu jednak przewiduje się, że mogą wystąpić:</w:t>
      </w:r>
    </w:p>
    <w:p w:rsidR="00C552B3" w:rsidRPr="00331CE7" w:rsidRDefault="00C552B3" w:rsidP="00331CE7">
      <w:pPr>
        <w:pStyle w:val="Akapitzlist"/>
        <w:numPr>
          <w:ilvl w:val="0"/>
          <w:numId w:val="20"/>
        </w:numPr>
        <w:spacing w:line="360" w:lineRule="auto"/>
        <w:rPr>
          <w:rFonts w:ascii="Arial" w:hAnsi="Arial" w:cs="Arial"/>
          <w:b/>
          <w:sz w:val="24"/>
          <w:szCs w:val="24"/>
          <w:lang w:val="pl-PL"/>
        </w:rPr>
      </w:pPr>
      <w:r w:rsidRPr="00331CE7">
        <w:rPr>
          <w:rFonts w:ascii="Arial" w:hAnsi="Arial" w:cs="Arial"/>
          <w:b/>
          <w:sz w:val="24"/>
          <w:szCs w:val="24"/>
          <w:lang w:val="pl-PL"/>
        </w:rPr>
        <w:t>Brak znajomości przez beneficjentów katalogu kosztów pośrednich</w:t>
      </w:r>
    </w:p>
    <w:p w:rsidR="00C552B3" w:rsidRPr="00331CE7" w:rsidRDefault="00C552B3" w:rsidP="00331CE7">
      <w:pPr>
        <w:spacing w:line="360" w:lineRule="auto"/>
        <w:rPr>
          <w:rFonts w:ascii="Arial" w:hAnsi="Arial" w:cs="Arial"/>
          <w:sz w:val="24"/>
          <w:szCs w:val="24"/>
          <w:lang w:val="pl-PL"/>
        </w:rPr>
      </w:pPr>
      <w:r w:rsidRPr="00331CE7">
        <w:rPr>
          <w:rFonts w:ascii="Arial" w:hAnsi="Arial" w:cs="Arial"/>
          <w:sz w:val="24"/>
          <w:szCs w:val="24"/>
          <w:lang w:val="pl-PL"/>
        </w:rPr>
        <w:t>Może się zdarzyć, że działania o charakterze administracyjnym będą ujmowane we wnioskach o dofinansowanie w kosztach bezpośrednich. Zadaniem IZ będzie informowanie wnioskodawców o katalogu kosztów pośrednich oraz zapewnienie na etapie oceny wniosków, aby ww. wydatki były ujmowane w odpowiednich kategoriach kosztów, tj. w kosztach pośrednich.  Dzięki temu możliwe będzie wykluczenie podwójnego finansowania takich samych wydatków jednocześnie w kosztach pośrednich i w kosztach bezpośrednich.</w:t>
      </w:r>
    </w:p>
    <w:p w:rsidR="00C552B3" w:rsidRPr="00331CE7" w:rsidRDefault="00C552B3" w:rsidP="00331CE7">
      <w:pPr>
        <w:pStyle w:val="Akapitzlist"/>
        <w:numPr>
          <w:ilvl w:val="0"/>
          <w:numId w:val="20"/>
        </w:numPr>
        <w:spacing w:line="360" w:lineRule="auto"/>
        <w:rPr>
          <w:rFonts w:ascii="Arial" w:hAnsi="Arial" w:cs="Arial"/>
          <w:b/>
          <w:sz w:val="24"/>
          <w:szCs w:val="24"/>
          <w:lang w:val="pl-PL"/>
        </w:rPr>
      </w:pPr>
      <w:r w:rsidRPr="00331CE7">
        <w:rPr>
          <w:rFonts w:ascii="Arial" w:hAnsi="Arial" w:cs="Arial"/>
          <w:b/>
          <w:sz w:val="24"/>
          <w:szCs w:val="24"/>
          <w:lang w:val="pl-PL"/>
        </w:rPr>
        <w:t>Brak znajomości mechanizmu stawek ryczałtowych kosztów pośrednich przez beneficjentów</w:t>
      </w:r>
    </w:p>
    <w:p w:rsidR="00C552B3" w:rsidRPr="00331CE7" w:rsidRDefault="00C552B3" w:rsidP="00331CE7">
      <w:pPr>
        <w:spacing w:line="360" w:lineRule="auto"/>
        <w:rPr>
          <w:rFonts w:ascii="Arial" w:hAnsi="Arial" w:cs="Arial"/>
          <w:sz w:val="24"/>
          <w:szCs w:val="24"/>
          <w:lang w:val="pl-PL"/>
        </w:rPr>
      </w:pPr>
      <w:r w:rsidRPr="00331CE7">
        <w:rPr>
          <w:rFonts w:ascii="Arial" w:hAnsi="Arial" w:cs="Arial"/>
          <w:sz w:val="24"/>
          <w:szCs w:val="24"/>
          <w:lang w:val="pl-PL"/>
        </w:rPr>
        <w:lastRenderedPageBreak/>
        <w:t xml:space="preserve">Jako działanie mające na celu przeciwdziałanie zidentyfikowanemu ryzyku IZ będzie prowadzić szkolenia dla beneficjentów w zakresie zasad rozliczania kosztów pośrednich.  </w:t>
      </w:r>
    </w:p>
    <w:p w:rsidR="00C552B3" w:rsidRPr="00331CE7" w:rsidRDefault="00C552B3" w:rsidP="00331CE7">
      <w:pPr>
        <w:pStyle w:val="Akapitzlist"/>
        <w:numPr>
          <w:ilvl w:val="0"/>
          <w:numId w:val="20"/>
        </w:numPr>
        <w:spacing w:line="360" w:lineRule="auto"/>
        <w:rPr>
          <w:rFonts w:ascii="Arial" w:hAnsi="Arial" w:cs="Arial"/>
          <w:b/>
          <w:sz w:val="24"/>
          <w:szCs w:val="24"/>
          <w:lang w:val="pl-PL"/>
        </w:rPr>
      </w:pPr>
      <w:r w:rsidRPr="00331CE7">
        <w:rPr>
          <w:rFonts w:ascii="Arial" w:hAnsi="Arial" w:cs="Arial"/>
          <w:b/>
          <w:sz w:val="24"/>
          <w:szCs w:val="24"/>
          <w:lang w:val="pl-PL"/>
        </w:rPr>
        <w:t xml:space="preserve">Ryzyko przyznania kosztów pośrednich w zawyżonej lub zaniżonej wysokości </w:t>
      </w:r>
    </w:p>
    <w:p w:rsidR="00C552B3" w:rsidRPr="00331CE7" w:rsidRDefault="00C552B3" w:rsidP="00331CE7">
      <w:pPr>
        <w:spacing w:line="360" w:lineRule="auto"/>
        <w:rPr>
          <w:rFonts w:ascii="Arial" w:hAnsi="Arial" w:cs="Arial"/>
          <w:sz w:val="24"/>
          <w:szCs w:val="24"/>
          <w:lang w:val="pl-PL"/>
        </w:rPr>
      </w:pPr>
      <w:r w:rsidRPr="00331CE7">
        <w:rPr>
          <w:rFonts w:ascii="Arial" w:hAnsi="Arial" w:cs="Arial"/>
          <w:sz w:val="24"/>
          <w:szCs w:val="24"/>
          <w:lang w:val="pl-PL"/>
        </w:rPr>
        <w:t>Ryzyko zwią</w:t>
      </w:r>
      <w:r w:rsidRPr="00331CE7">
        <w:rPr>
          <w:rFonts w:ascii="Arial" w:hAnsi="Arial" w:cs="Arial"/>
          <w:sz w:val="24"/>
          <w:szCs w:val="24"/>
          <w:lang w:val="pl-PL"/>
        </w:rPr>
        <w:t>zane z przyznaniem kosztów pośrednich w zawyżonej wysokości może zaistnieć w sytuacji, gdy zatwierdzone zostaną wydatki bezpośrednie, które powinny zostać uznane za niekwalifikowalne. Kluczowym elementem przeciwdziałającym powyższemu ryzyku będzie zapewnienie właściwej weryfikacji wydatków przez IZ na etapie rozliczania wniosków o płatność.</w:t>
      </w:r>
    </w:p>
    <w:p w:rsidR="00FB5A19" w:rsidRPr="00331CE7" w:rsidRDefault="00C552B3" w:rsidP="00331CE7">
      <w:pPr>
        <w:spacing w:line="360" w:lineRule="auto"/>
        <w:rPr>
          <w:rFonts w:ascii="Arial" w:hAnsi="Arial" w:cs="Arial"/>
          <w:sz w:val="24"/>
          <w:szCs w:val="24"/>
          <w:lang w:val="pl-PL"/>
        </w:rPr>
      </w:pPr>
      <w:r w:rsidRPr="00331CE7">
        <w:rPr>
          <w:rFonts w:ascii="Arial" w:hAnsi="Arial" w:cs="Arial"/>
          <w:sz w:val="24"/>
          <w:szCs w:val="24"/>
          <w:lang w:val="pl-PL"/>
        </w:rPr>
        <w:t>Ryzyko przyznania kosztów pośrednich w zaniżonej wysokości może zaistnieć w sytuacji, gdy w zatwierdzonych wnioskach o dofinansowanie została zadeklarowana niższa wartość kosztów pośrednich niż wynika to z przyjętej</w:t>
      </w:r>
      <w:r w:rsidRPr="00331CE7">
        <w:rPr>
          <w:rFonts w:ascii="Arial" w:hAnsi="Arial" w:cs="Arial"/>
          <w:sz w:val="24"/>
          <w:szCs w:val="24"/>
          <w:lang w:val="pl-PL"/>
        </w:rPr>
        <w:t xml:space="preserve"> </w:t>
      </w:r>
      <w:r w:rsidRPr="00331CE7">
        <w:rPr>
          <w:rFonts w:ascii="Arial" w:hAnsi="Arial" w:cs="Arial"/>
          <w:sz w:val="24"/>
          <w:szCs w:val="24"/>
          <w:lang w:val="pl-PL"/>
        </w:rPr>
        <w:t>wysokości stawki ryczałtowej. Kluczowym elementem przeciwdziałającym powyższemu ryzku będzie zapewnienie właściwej weryfikacji wniosków o dofinansowanie przez IZ na etapie ich oceny.</w:t>
      </w:r>
    </w:p>
    <w:p w:rsidR="00C552B3" w:rsidRPr="00331CE7" w:rsidRDefault="00C552B3" w:rsidP="00331CE7">
      <w:pPr>
        <w:pStyle w:val="Nagwek4"/>
        <w:spacing w:after="120" w:line="360" w:lineRule="auto"/>
        <w:ind w:left="425" w:hanging="431"/>
        <w:rPr>
          <w:b/>
          <w:szCs w:val="24"/>
        </w:rPr>
      </w:pPr>
      <w:r w:rsidRPr="00331CE7">
        <w:rPr>
          <w:b/>
          <w:szCs w:val="24"/>
        </w:rPr>
        <w:t>Łączna kwota (krajowa i unijna) oczekiwanego na tej podstawie zwrotu od Komisji</w:t>
      </w:r>
    </w:p>
    <w:p w:rsidR="00F54182" w:rsidRPr="0073643E" w:rsidRDefault="00C552B3" w:rsidP="0073643E">
      <w:pPr>
        <w:spacing w:line="360" w:lineRule="auto"/>
        <w:rPr>
          <w:rFonts w:ascii="Arial" w:hAnsi="Arial" w:cs="Arial"/>
          <w:i/>
          <w:sz w:val="24"/>
          <w:szCs w:val="24"/>
          <w:lang w:val="pl-PL"/>
        </w:rPr>
      </w:pPr>
      <w:r w:rsidRPr="00331CE7">
        <w:rPr>
          <w:rFonts w:ascii="Arial" w:hAnsi="Arial" w:cs="Arial"/>
          <w:i/>
          <w:sz w:val="24"/>
          <w:szCs w:val="24"/>
          <w:lang w:val="pl-PL"/>
        </w:rPr>
        <w:t>Do uzupełnienia.</w:t>
      </w:r>
    </w:p>
    <w:p w:rsidR="00F54182" w:rsidRPr="00965C64" w:rsidRDefault="0096380A" w:rsidP="00331CE7">
      <w:pPr>
        <w:pStyle w:val="Nagwek2"/>
        <w:spacing w:line="360" w:lineRule="auto"/>
        <w:ind w:left="426"/>
        <w:rPr>
          <w:sz w:val="26"/>
          <w:szCs w:val="26"/>
          <w:lang w:val="pl-PL"/>
        </w:rPr>
      </w:pPr>
      <w:r w:rsidRPr="00965C64">
        <w:rPr>
          <w:sz w:val="26"/>
          <w:szCs w:val="26"/>
          <w:lang w:val="pl-PL"/>
        </w:rPr>
        <w:t>Obliczanie standardowej skali kosztów jednostkowych, płatności ryczałtowych lub stawek zryczałtowanych</w:t>
      </w:r>
    </w:p>
    <w:p w:rsidR="002C7FC2" w:rsidRPr="00331CE7" w:rsidRDefault="0096380A" w:rsidP="00331CE7">
      <w:pPr>
        <w:pStyle w:val="Nagwek5"/>
        <w:spacing w:line="360" w:lineRule="auto"/>
        <w:ind w:left="426"/>
        <w:rPr>
          <w:b/>
          <w:szCs w:val="24"/>
        </w:rPr>
      </w:pPr>
      <w:r w:rsidRPr="00331CE7">
        <w:rPr>
          <w:b/>
          <w:szCs w:val="24"/>
        </w:rPr>
        <w:t>Źródła danych wykorzystywanych do obliczania standardowej skali kosztów jednostkowych, płatności ryczałtowych lub stawek zryczałtowanych (kto przygotował dane, kto je zgromadził i zapisał, miejsce przechowywania danych, daty graniczne, walidacja itd.):</w:t>
      </w:r>
    </w:p>
    <w:p w:rsidR="004A4D0F" w:rsidRPr="00331CE7" w:rsidRDefault="004A4D0F" w:rsidP="00331CE7">
      <w:pPr>
        <w:spacing w:line="360" w:lineRule="auto"/>
        <w:rPr>
          <w:rFonts w:ascii="Arial" w:hAnsi="Arial" w:cs="Arial"/>
          <w:sz w:val="24"/>
          <w:szCs w:val="24"/>
          <w:lang w:val="pl-PL"/>
        </w:rPr>
      </w:pPr>
      <w:r w:rsidRPr="00331CE7">
        <w:rPr>
          <w:rFonts w:ascii="Arial" w:hAnsi="Arial" w:cs="Arial"/>
          <w:sz w:val="24"/>
          <w:szCs w:val="24"/>
          <w:lang w:val="pl-PL"/>
        </w:rPr>
        <w:t xml:space="preserve">Zgodnie z  art. 49 projektu rozporządzenia ogólnego dla perspektywy finansowej 2021-2027, dla projektów współfinansowanych ze środków EFS+ przyjęto stawki ryczałtowe kosztów pośrednich ustalone dla projektów EFS zgodnie z artykułem 67 ust. 5 lit. a) rozporządzenia ogólnego nr 1303/2013. </w:t>
      </w:r>
    </w:p>
    <w:p w:rsidR="004A4D0F" w:rsidRPr="00331CE7" w:rsidRDefault="004A4D0F" w:rsidP="00331CE7">
      <w:pPr>
        <w:spacing w:line="360" w:lineRule="auto"/>
        <w:rPr>
          <w:rFonts w:ascii="Arial" w:hAnsi="Arial" w:cs="Arial"/>
          <w:sz w:val="24"/>
          <w:szCs w:val="24"/>
          <w:lang w:val="pl-PL"/>
        </w:rPr>
      </w:pPr>
      <w:r w:rsidRPr="00331CE7">
        <w:rPr>
          <w:rFonts w:ascii="Arial" w:hAnsi="Arial" w:cs="Arial"/>
          <w:sz w:val="24"/>
          <w:szCs w:val="24"/>
          <w:lang w:val="pl-PL"/>
        </w:rPr>
        <w:lastRenderedPageBreak/>
        <w:t xml:space="preserve">Źródłem danych dla stawek ryczałtowych kosztów pośrednich są dane historyczne z projektów EFS w ramach Programu Operacyjnego Kapitał Ludzki 2007-2013, a proces ustalania stawek ryczałtowych został opisany w Raporcie z analizy kosztów pośrednich i kosztów zarządzania w projektach PO KL 2007-2013 w celu opracowania limitów kosztów pośrednich rozliczanych ryczałtem na perspektywę finansową 2014-2020 z dnia 20 kwietnia 2014 r.  (Załącznik 1). </w:t>
      </w:r>
    </w:p>
    <w:p w:rsidR="004A4D0F" w:rsidRPr="00331CE7" w:rsidRDefault="004A4D0F" w:rsidP="00331CE7">
      <w:pPr>
        <w:spacing w:line="360" w:lineRule="auto"/>
        <w:rPr>
          <w:rFonts w:ascii="Arial" w:hAnsi="Arial" w:cs="Arial"/>
          <w:sz w:val="24"/>
          <w:szCs w:val="24"/>
          <w:lang w:val="pl-PL"/>
        </w:rPr>
      </w:pPr>
      <w:r w:rsidRPr="00331CE7">
        <w:rPr>
          <w:rFonts w:ascii="Arial" w:hAnsi="Arial" w:cs="Arial"/>
          <w:sz w:val="24"/>
          <w:szCs w:val="24"/>
          <w:lang w:val="pl-PL"/>
        </w:rPr>
        <w:t>Dane przechowywane są w Instytucji Koordynującej EFS.</w:t>
      </w:r>
    </w:p>
    <w:p w:rsidR="002C7FC2" w:rsidRPr="00331CE7" w:rsidRDefault="0096380A" w:rsidP="00331CE7">
      <w:pPr>
        <w:pStyle w:val="Nagwek5"/>
        <w:spacing w:line="360" w:lineRule="auto"/>
        <w:ind w:left="426"/>
        <w:rPr>
          <w:b/>
          <w:szCs w:val="24"/>
        </w:rPr>
      </w:pPr>
      <w:r w:rsidRPr="00331CE7">
        <w:rPr>
          <w:b/>
          <w:szCs w:val="24"/>
        </w:rPr>
        <w:t>Proszę określić, dlaczego proponowana metoda i obliczenia na podstawie art. 94 ust. 2 są właściwe dla danego rodzaju operacji:</w:t>
      </w:r>
    </w:p>
    <w:p w:rsidR="004A4D0F" w:rsidRPr="00331CE7" w:rsidRDefault="004A4D0F" w:rsidP="00331CE7">
      <w:pPr>
        <w:spacing w:line="360" w:lineRule="auto"/>
        <w:rPr>
          <w:rFonts w:ascii="Arial" w:hAnsi="Arial" w:cs="Arial"/>
          <w:sz w:val="24"/>
          <w:szCs w:val="24"/>
          <w:lang w:val="pl-PL"/>
        </w:rPr>
      </w:pPr>
      <w:r w:rsidRPr="00331CE7">
        <w:rPr>
          <w:rFonts w:ascii="Arial" w:hAnsi="Arial" w:cs="Arial"/>
          <w:sz w:val="24"/>
          <w:szCs w:val="24"/>
          <w:lang w:val="pl-PL"/>
        </w:rPr>
        <w:t xml:space="preserve">Metoda kalkulacji stawki ryczałtowej została szczegółowo opisana w Raporcie z analizy kosztów pośrednich i kosztów zarządzania w projektach PO KL 2007-2013 w celu opracowania limitów kosztów pośrednich rozliczanych ryczałtem na perspektywę finansową 2014-2020.  </w:t>
      </w:r>
    </w:p>
    <w:p w:rsidR="004A4D0F" w:rsidRPr="00331CE7" w:rsidRDefault="004A4D0F" w:rsidP="00331CE7">
      <w:pPr>
        <w:spacing w:line="360" w:lineRule="auto"/>
        <w:rPr>
          <w:rFonts w:ascii="Arial" w:hAnsi="Arial" w:cs="Arial"/>
          <w:sz w:val="24"/>
          <w:szCs w:val="24"/>
          <w:lang w:val="pl-PL"/>
        </w:rPr>
      </w:pPr>
      <w:r w:rsidRPr="00331CE7">
        <w:rPr>
          <w:rFonts w:ascii="Arial" w:hAnsi="Arial" w:cs="Arial"/>
          <w:sz w:val="24"/>
          <w:szCs w:val="24"/>
          <w:lang w:val="pl-PL"/>
        </w:rPr>
        <w:t>Stawki te są stosowane z sukcesem w tej perspektywie finansowej we wszystkich programach współfinansowanych z EFS i zapewniają jednolitość podejścia w całym funduszu. Metodyka opisana w raporcie była przedmiotem audytu Komisji Europejskiej DG EMPL w czasie misji nr EMPG214PL0185 z 2016 r. w Programie Operacyjnym Wiedza Edukacja Rozwój.</w:t>
      </w:r>
    </w:p>
    <w:p w:rsidR="002C7FC2" w:rsidRPr="00331CE7" w:rsidRDefault="0096380A" w:rsidP="00331CE7">
      <w:pPr>
        <w:pStyle w:val="Nagwek5"/>
        <w:spacing w:line="360" w:lineRule="auto"/>
        <w:ind w:left="426"/>
        <w:rPr>
          <w:b/>
          <w:szCs w:val="24"/>
          <w:lang w:eastAsia="fr-LU"/>
        </w:rPr>
      </w:pPr>
      <w:r w:rsidRPr="00331CE7">
        <w:rPr>
          <w:b/>
          <w:szCs w:val="24"/>
          <w:lang w:eastAsia="fr-LU"/>
        </w:rPr>
        <w:t>Proszę określić sposób dokonania obliczeń, w tym w szczególności wszelkie założenia przyjęte w odniesieniu do jakości lub ilości. W stosownych przypadkach należy zastosować dowody statystyczne i poziomy odniesienia oraz przedstawić je – na wniosek – w formacie pozwalającym na wykorzystanie przez Komisję.</w:t>
      </w:r>
      <w:r w:rsidR="00F54182" w:rsidRPr="00331CE7">
        <w:rPr>
          <w:b/>
          <w:szCs w:val="24"/>
          <w:lang w:eastAsia="fr-LU"/>
        </w:rPr>
        <w:t xml:space="preserve"> </w:t>
      </w:r>
    </w:p>
    <w:p w:rsidR="004A4D0F" w:rsidRPr="00331CE7" w:rsidRDefault="004A4D0F" w:rsidP="00331CE7">
      <w:pPr>
        <w:spacing w:line="360" w:lineRule="auto"/>
        <w:rPr>
          <w:rFonts w:ascii="Arial" w:hAnsi="Arial" w:cs="Arial"/>
          <w:sz w:val="24"/>
          <w:szCs w:val="24"/>
          <w:lang w:val="pl-PL" w:eastAsia="fr-LU"/>
        </w:rPr>
      </w:pPr>
      <w:r w:rsidRPr="00331CE7">
        <w:rPr>
          <w:rFonts w:ascii="Arial" w:hAnsi="Arial" w:cs="Arial"/>
          <w:sz w:val="24"/>
          <w:szCs w:val="24"/>
          <w:lang w:val="pl-PL" w:eastAsia="fr-LU"/>
        </w:rPr>
        <w:t>Sposób kalkulacji stawek ryczałtowych kosztów pośrednich został szczegółowo opisany w Raporcie z analizy kosztów pośrednich i kosztów zarządzania w projektach PO KL 2007-2013 w celu opracowania limitów kosztów pośrednich rozliczanych ryczałtem na perspektywę finansową 2014-2020 (dalej: Raport). Stawki ryczałtowe ustalone w wyniku analizy będącej przedmiotem ww. Raportu zostały wprowadzone do Wytycznych w zakresie kwalifikowalności wydatków w ramach EFRR, EFS i FS na lata 2014-2020 (dalej: Wytyczne na lata 20214-2020) w I wersji z 10.04.2015 r.</w:t>
      </w:r>
    </w:p>
    <w:p w:rsidR="004A4D0F" w:rsidRPr="00331CE7" w:rsidRDefault="004A4D0F" w:rsidP="00331CE7">
      <w:pPr>
        <w:spacing w:line="360" w:lineRule="auto"/>
        <w:rPr>
          <w:rFonts w:ascii="Arial" w:hAnsi="Arial" w:cs="Arial"/>
          <w:sz w:val="24"/>
          <w:szCs w:val="24"/>
          <w:lang w:val="pl-PL" w:eastAsia="fr-LU"/>
        </w:rPr>
      </w:pPr>
      <w:r w:rsidRPr="00331CE7">
        <w:rPr>
          <w:rFonts w:ascii="Arial" w:hAnsi="Arial" w:cs="Arial"/>
          <w:sz w:val="24"/>
          <w:szCs w:val="24"/>
          <w:lang w:val="pl-PL" w:eastAsia="fr-LU"/>
        </w:rPr>
        <w:lastRenderedPageBreak/>
        <w:t>Pierwsze doświadczenia z wdrażania stawek ryczałtowych kosztów pośrednich w kształcie zaproponowanym w Wytycznych na lata 2014-2020 przyniosły jednak problemy z wyliczeniami, które wymagały rozwiązania. Przyjęty w Raporcie sposób wyliczania wartości kosztów pośrednich w zależności od wartości projektu generował powstawanie luki w przypadku tych projektów, których wartość była na granicy właściwych stawek ryczałtowych. Dlatego w II wersji Wytycznych na lata 2014-2020 obowiązujących od dnia 19.09.2016 r. wprowadzono zmiany względem ww. Raportu na podstawie przeliczeń Instytucji Koordynującej EFS i ustalono stawki ryczałtowe kosztów pośrednich w zależności od wartości kosztów bezpośrednich. Szczegółowy sposób przeliczenia stawek ryczałtowych zawarto w pliku Excel – załącznik 2.</w:t>
      </w:r>
    </w:p>
    <w:p w:rsidR="002C7FC2" w:rsidRPr="00331CE7" w:rsidRDefault="0096380A" w:rsidP="00331CE7">
      <w:pPr>
        <w:pStyle w:val="Nagwek5"/>
        <w:spacing w:line="360" w:lineRule="auto"/>
        <w:ind w:left="284"/>
        <w:rPr>
          <w:b/>
          <w:szCs w:val="24"/>
          <w:lang w:eastAsia="fr-LU"/>
        </w:rPr>
      </w:pPr>
      <w:r w:rsidRPr="00331CE7">
        <w:rPr>
          <w:b/>
          <w:szCs w:val="24"/>
          <w:lang w:eastAsia="fr-LU"/>
        </w:rPr>
        <w:t>Proszę wyjaśnić, w jaki sposób zapewniono, by jedynie wydatki kwalifikowalne były uwzględniane przy obliczaniu standardowej skali kosztów jednostkowych, płatności ryczałtowych lub stawek zryczałtowanych:</w:t>
      </w:r>
    </w:p>
    <w:p w:rsidR="004A4D0F" w:rsidRPr="00331CE7" w:rsidRDefault="004A4D0F" w:rsidP="00331CE7">
      <w:pPr>
        <w:spacing w:line="360" w:lineRule="auto"/>
        <w:rPr>
          <w:rFonts w:ascii="Arial" w:hAnsi="Arial" w:cs="Arial"/>
          <w:sz w:val="24"/>
          <w:szCs w:val="24"/>
          <w:lang w:val="pl-PL" w:eastAsia="fr-LU"/>
        </w:rPr>
      </w:pPr>
      <w:r w:rsidRPr="00331CE7">
        <w:rPr>
          <w:rFonts w:ascii="Arial" w:hAnsi="Arial" w:cs="Arial"/>
          <w:sz w:val="24"/>
          <w:szCs w:val="24"/>
          <w:lang w:val="pl-PL" w:eastAsia="fr-LU"/>
        </w:rPr>
        <w:t>Wysokość stawek ryczałtowych kosztów pośrednich została ustalona zgodnie z  art. 49 projektu rozporządzenia ogólnego dla perspektywy fina</w:t>
      </w:r>
      <w:r w:rsidR="00E60CA8" w:rsidRPr="00331CE7">
        <w:rPr>
          <w:rFonts w:ascii="Arial" w:hAnsi="Arial" w:cs="Arial"/>
          <w:sz w:val="24"/>
          <w:szCs w:val="24"/>
          <w:lang w:val="pl-PL" w:eastAsia="fr-LU"/>
        </w:rPr>
        <w:t>n</w:t>
      </w:r>
      <w:r w:rsidRPr="00331CE7">
        <w:rPr>
          <w:rFonts w:ascii="Arial" w:hAnsi="Arial" w:cs="Arial"/>
          <w:sz w:val="24"/>
          <w:szCs w:val="24"/>
          <w:lang w:val="pl-PL" w:eastAsia="fr-LU"/>
        </w:rPr>
        <w:t>sowej 2021-2027, tj. dla projektów współfina</w:t>
      </w:r>
      <w:r w:rsidR="00E60CA8" w:rsidRPr="00331CE7">
        <w:rPr>
          <w:rFonts w:ascii="Arial" w:hAnsi="Arial" w:cs="Arial"/>
          <w:sz w:val="24"/>
          <w:szCs w:val="24"/>
          <w:lang w:val="pl-PL" w:eastAsia="fr-LU"/>
        </w:rPr>
        <w:t>nsowanych ze środków EFS+ przyję</w:t>
      </w:r>
      <w:r w:rsidRPr="00331CE7">
        <w:rPr>
          <w:rFonts w:ascii="Arial" w:hAnsi="Arial" w:cs="Arial"/>
          <w:sz w:val="24"/>
          <w:szCs w:val="24"/>
          <w:lang w:val="pl-PL" w:eastAsia="fr-LU"/>
        </w:rPr>
        <w:t>to stawki ryczałtowe kosztów pośrednich ustalone dla projektów współfinansowa</w:t>
      </w:r>
      <w:r w:rsidR="00E60CA8" w:rsidRPr="00331CE7">
        <w:rPr>
          <w:rFonts w:ascii="Arial" w:hAnsi="Arial" w:cs="Arial"/>
          <w:sz w:val="24"/>
          <w:szCs w:val="24"/>
          <w:lang w:val="pl-PL" w:eastAsia="fr-LU"/>
        </w:rPr>
        <w:t>n</w:t>
      </w:r>
      <w:r w:rsidRPr="00331CE7">
        <w:rPr>
          <w:rFonts w:ascii="Arial" w:hAnsi="Arial" w:cs="Arial"/>
          <w:sz w:val="24"/>
          <w:szCs w:val="24"/>
          <w:lang w:val="pl-PL" w:eastAsia="fr-LU"/>
        </w:rPr>
        <w:t>ych ze środków EFS zgodnie z artykułem 67 ust. 5 lit. a) rozporządzenia nr 1303/2013, które z kolei zostały ustalone na podstawie rzeczywistych, zweryfikowanych i zatwierdzonych danych pochodzących z projektów PO KL 2007-2013. W związku z powyższym należy uznać, że tylko kwalifikowalne koszty zostały uwzględnione przy ustalaniu stawek ryczałtowych kosztów pośrednich dla obecnej perspektywy finansowej.</w:t>
      </w:r>
    </w:p>
    <w:p w:rsidR="002C7FC2" w:rsidRPr="00331CE7" w:rsidRDefault="0096380A" w:rsidP="00331CE7">
      <w:pPr>
        <w:pStyle w:val="Nagwek5"/>
        <w:spacing w:line="360" w:lineRule="auto"/>
        <w:ind w:left="426"/>
        <w:rPr>
          <w:b/>
          <w:szCs w:val="24"/>
          <w:lang w:eastAsia="fr-LU"/>
        </w:rPr>
      </w:pPr>
      <w:r w:rsidRPr="00331CE7">
        <w:rPr>
          <w:b/>
          <w:szCs w:val="24"/>
          <w:lang w:eastAsia="fr-LU"/>
        </w:rPr>
        <w:t>Ocena przez instytucję(-e) audytową(-e) metody obliczania i kwot oraz ustaleń mających zapewnić weryfikację danych, ich jakość, sposób gromadzenia i przechowywania:</w:t>
      </w:r>
    </w:p>
    <w:p w:rsidR="004A4D0F" w:rsidRPr="00331CE7" w:rsidRDefault="004A4D0F" w:rsidP="00331CE7">
      <w:pPr>
        <w:spacing w:line="360" w:lineRule="auto"/>
        <w:rPr>
          <w:rFonts w:ascii="Arial" w:hAnsi="Arial" w:cs="Arial"/>
          <w:sz w:val="24"/>
          <w:szCs w:val="24"/>
          <w:lang w:val="pl-PL" w:eastAsia="fr-LU"/>
        </w:rPr>
      </w:pPr>
      <w:r w:rsidRPr="00331CE7">
        <w:rPr>
          <w:rFonts w:ascii="Arial" w:hAnsi="Arial" w:cs="Arial"/>
          <w:sz w:val="24"/>
          <w:szCs w:val="24"/>
          <w:lang w:val="pl-PL" w:eastAsia="fr-LU"/>
        </w:rPr>
        <w:t xml:space="preserve">Pismem z dnia 30 kwietnia 2021 r. (znak: DAS3.9011.11.2021.1.ABJE) Instytucja Audytowa poinformowała, że w wyniku </w:t>
      </w:r>
      <w:r w:rsidR="00E60CA8" w:rsidRPr="00331CE7">
        <w:rPr>
          <w:rFonts w:ascii="Arial" w:hAnsi="Arial" w:cs="Arial"/>
          <w:sz w:val="24"/>
          <w:szCs w:val="24"/>
          <w:lang w:val="pl-PL" w:eastAsia="fr-LU"/>
        </w:rPr>
        <w:t>dokonania wstępnej analizy pole</w:t>
      </w:r>
      <w:r w:rsidRPr="00331CE7">
        <w:rPr>
          <w:rFonts w:ascii="Arial" w:hAnsi="Arial" w:cs="Arial"/>
          <w:sz w:val="24"/>
          <w:szCs w:val="24"/>
          <w:lang w:val="pl-PL" w:eastAsia="fr-LU"/>
        </w:rPr>
        <w:t>gającej na weryfikacji zgodności metodyki z wytycznymi Komisji dla IA (wzór konkluzji oraz listy sprawdzającej dla badania kosztów uproszczonych, obejmującej badanie ex-</w:t>
      </w:r>
      <w:proofErr w:type="spellStart"/>
      <w:r w:rsidRPr="00331CE7">
        <w:rPr>
          <w:rFonts w:ascii="Arial" w:hAnsi="Arial" w:cs="Arial"/>
          <w:sz w:val="24"/>
          <w:szCs w:val="24"/>
          <w:lang w:val="pl-PL" w:eastAsia="fr-LU"/>
        </w:rPr>
        <w:t>ante</w:t>
      </w:r>
      <w:proofErr w:type="spellEnd"/>
      <w:r w:rsidRPr="00331CE7">
        <w:rPr>
          <w:rFonts w:ascii="Arial" w:hAnsi="Arial" w:cs="Arial"/>
          <w:sz w:val="24"/>
          <w:szCs w:val="24"/>
          <w:lang w:val="pl-PL" w:eastAsia="fr-LU"/>
        </w:rPr>
        <w:t xml:space="preserve"> metodyki na </w:t>
      </w:r>
      <w:r w:rsidR="00E60CA8" w:rsidRPr="00331CE7">
        <w:rPr>
          <w:rFonts w:ascii="Arial" w:hAnsi="Arial" w:cs="Arial"/>
          <w:sz w:val="24"/>
          <w:szCs w:val="24"/>
          <w:lang w:val="pl-PL" w:eastAsia="fr-LU"/>
        </w:rPr>
        <w:t xml:space="preserve">podstawie art. 88 CPR), nie </w:t>
      </w:r>
      <w:r w:rsidRPr="00331CE7">
        <w:rPr>
          <w:rFonts w:ascii="Arial" w:hAnsi="Arial" w:cs="Arial"/>
          <w:sz w:val="24"/>
          <w:szCs w:val="24"/>
          <w:lang w:val="pl-PL" w:eastAsia="fr-LU"/>
        </w:rPr>
        <w:t>wnosi uwag do samych wyliczeń stawek ryczałtowych ujętych w ww. dokumencie.</w:t>
      </w:r>
    </w:p>
    <w:p w:rsidR="00B65DC4" w:rsidRPr="00331CE7" w:rsidRDefault="00B65DC4" w:rsidP="00331CE7">
      <w:pPr>
        <w:spacing w:line="360" w:lineRule="auto"/>
        <w:rPr>
          <w:rFonts w:ascii="Arial" w:hAnsi="Arial" w:cs="Arial"/>
          <w:sz w:val="24"/>
          <w:szCs w:val="24"/>
          <w:lang w:val="pl-PL" w:eastAsia="fr-LU"/>
        </w:rPr>
      </w:pPr>
    </w:p>
    <w:p w:rsidR="002C7FC2" w:rsidRPr="00331CE7" w:rsidRDefault="002C7FC2" w:rsidP="00331CE7">
      <w:pPr>
        <w:pStyle w:val="Nagwek3"/>
        <w:spacing w:line="360" w:lineRule="auto"/>
        <w:rPr>
          <w:b/>
          <w:szCs w:val="24"/>
        </w:rPr>
      </w:pPr>
      <w:r w:rsidRPr="00331CE7">
        <w:rPr>
          <w:b/>
          <w:szCs w:val="24"/>
        </w:rPr>
        <w:t>Załączniki:</w:t>
      </w:r>
    </w:p>
    <w:p w:rsidR="002C7FC2" w:rsidRPr="00331CE7" w:rsidRDefault="002C7FC2" w:rsidP="00331CE7">
      <w:pPr>
        <w:pStyle w:val="Nagwek5"/>
        <w:numPr>
          <w:ilvl w:val="0"/>
          <w:numId w:val="10"/>
        </w:numPr>
        <w:spacing w:line="360" w:lineRule="auto"/>
        <w:rPr>
          <w:szCs w:val="24"/>
        </w:rPr>
      </w:pPr>
      <w:r w:rsidRPr="00331CE7">
        <w:rPr>
          <w:szCs w:val="24"/>
        </w:rPr>
        <w:t xml:space="preserve">Raport z analizy kosztów pośrednich i kosztów zarządzania w projektach PO KL 2007-2013 w celu opracowania limitów kosztów pośrednich rozliczanych ryczałtem na perspektywę finansową 2014-2020 z dnia 20 kwietnia 2014 r.  </w:t>
      </w:r>
    </w:p>
    <w:p w:rsidR="002C7FC2" w:rsidRPr="00331CE7" w:rsidRDefault="002C7FC2" w:rsidP="00331CE7">
      <w:pPr>
        <w:pStyle w:val="Nagwek5"/>
        <w:spacing w:line="360" w:lineRule="auto"/>
        <w:rPr>
          <w:szCs w:val="24"/>
        </w:rPr>
      </w:pPr>
      <w:r w:rsidRPr="00331CE7">
        <w:rPr>
          <w:szCs w:val="24"/>
        </w:rPr>
        <w:t>Excel z przeliczeniami stawek ryczałtowych kosztów pośrednich.</w:t>
      </w:r>
    </w:p>
    <w:p w:rsidR="00113559" w:rsidRPr="00331CE7" w:rsidRDefault="00113559" w:rsidP="00331CE7">
      <w:pPr>
        <w:spacing w:line="360" w:lineRule="auto"/>
        <w:rPr>
          <w:rFonts w:ascii="Arial" w:hAnsi="Arial" w:cs="Arial"/>
          <w:sz w:val="24"/>
          <w:szCs w:val="24"/>
          <w:lang w:val="pl-PL"/>
        </w:rPr>
      </w:pPr>
    </w:p>
    <w:sectPr w:rsidR="00113559" w:rsidRPr="00331C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82" w:rsidRDefault="00F54182" w:rsidP="00F54182">
      <w:pPr>
        <w:spacing w:after="0" w:line="240" w:lineRule="auto"/>
      </w:pPr>
      <w:r>
        <w:separator/>
      </w:r>
    </w:p>
  </w:endnote>
  <w:endnote w:type="continuationSeparator" w:id="0">
    <w:p w:rsidR="00F54182" w:rsidRDefault="00F54182" w:rsidP="00F5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6145"/>
      <w:docPartObj>
        <w:docPartGallery w:val="Page Numbers (Bottom of Page)"/>
        <w:docPartUnique/>
      </w:docPartObj>
    </w:sdtPr>
    <w:sdtEndPr/>
    <w:sdtContent>
      <w:p w:rsidR="00CF7616" w:rsidRDefault="00CF7616">
        <w:pPr>
          <w:pStyle w:val="Stopka"/>
          <w:jc w:val="right"/>
        </w:pPr>
        <w:r>
          <w:fldChar w:fldCharType="begin"/>
        </w:r>
        <w:r>
          <w:instrText>PAGE   \* MERGEFORMAT</w:instrText>
        </w:r>
        <w:r>
          <w:fldChar w:fldCharType="separate"/>
        </w:r>
        <w:r w:rsidR="00D2118A" w:rsidRPr="00D2118A">
          <w:rPr>
            <w:noProof/>
            <w:lang w:val="pl-PL"/>
          </w:rPr>
          <w:t>12</w:t>
        </w:r>
        <w:r>
          <w:fldChar w:fldCharType="end"/>
        </w:r>
      </w:p>
    </w:sdtContent>
  </w:sdt>
  <w:p w:rsidR="00CF7616" w:rsidRDefault="00CF76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82" w:rsidRDefault="00F54182" w:rsidP="00F54182">
      <w:pPr>
        <w:spacing w:after="0" w:line="240" w:lineRule="auto"/>
      </w:pPr>
      <w:r>
        <w:separator/>
      </w:r>
    </w:p>
  </w:footnote>
  <w:footnote w:type="continuationSeparator" w:id="0">
    <w:p w:rsidR="00F54182" w:rsidRDefault="00F54182" w:rsidP="00F54182">
      <w:pPr>
        <w:spacing w:after="0" w:line="240" w:lineRule="auto"/>
      </w:pPr>
      <w:r>
        <w:continuationSeparator/>
      </w:r>
    </w:p>
  </w:footnote>
  <w:footnote w:id="1">
    <w:p w:rsidR="00895626" w:rsidRPr="00331CE7" w:rsidRDefault="00895626">
      <w:pPr>
        <w:pStyle w:val="Tekstprzypisudolnego"/>
        <w:rPr>
          <w:rFonts w:ascii="Arial" w:hAnsi="Arial" w:cs="Arial"/>
          <w:lang w:val="pl-PL"/>
        </w:rPr>
      </w:pPr>
      <w:r>
        <w:rPr>
          <w:rStyle w:val="Odwoanieprzypisudolnego"/>
        </w:rPr>
        <w:footnoteRef/>
      </w:r>
      <w:r>
        <w:t xml:space="preserve"> </w:t>
      </w:r>
      <w:r w:rsidRPr="00331CE7">
        <w:rPr>
          <w:rFonts w:ascii="Arial" w:hAnsi="Arial" w:cs="Arial"/>
          <w:lang w:val="pl-PL"/>
        </w:rPr>
        <w:t>Oznacza kod dotyczący wymiaru „Dziedzina interwencji” w tabeli 1 załącznika I do niniejszego rozporządzenia oraz w załączniku IV do rozporządzenia w sprawie EFMRA.</w:t>
      </w:r>
    </w:p>
  </w:footnote>
  <w:footnote w:id="2">
    <w:p w:rsidR="00895626" w:rsidRPr="00331CE7" w:rsidRDefault="00895626">
      <w:pPr>
        <w:pStyle w:val="Tekstprzypisudolnego"/>
        <w:rPr>
          <w:rFonts w:ascii="Arial" w:hAnsi="Arial" w:cs="Arial"/>
          <w:lang w:val="pl-PL"/>
        </w:rPr>
      </w:pPr>
      <w:r w:rsidRPr="00331CE7">
        <w:rPr>
          <w:rStyle w:val="Odwoanieprzypisudolnego"/>
          <w:rFonts w:ascii="Arial" w:hAnsi="Arial" w:cs="Arial"/>
        </w:rPr>
        <w:footnoteRef/>
      </w:r>
      <w:r w:rsidRPr="00331CE7">
        <w:rPr>
          <w:rFonts w:ascii="Arial" w:hAnsi="Arial" w:cs="Arial"/>
        </w:rPr>
        <w:t xml:space="preserve"> </w:t>
      </w:r>
      <w:r w:rsidRPr="00331CE7">
        <w:rPr>
          <w:rFonts w:ascii="Arial" w:hAnsi="Arial" w:cs="Arial"/>
          <w:lang w:val="pl-PL"/>
        </w:rPr>
        <w:t>Oznacza kod wspólnego wskaźnika, o ile ma zastosowanie</w:t>
      </w:r>
    </w:p>
  </w:footnote>
  <w:footnote w:id="3">
    <w:p w:rsidR="00032F71" w:rsidRPr="00CA0393" w:rsidRDefault="00032F71">
      <w:pPr>
        <w:pStyle w:val="Tekstprzypisudolnego"/>
        <w:rPr>
          <w:lang w:val="pl-PL"/>
        </w:rPr>
      </w:pPr>
      <w:r w:rsidRPr="00CA0393">
        <w:rPr>
          <w:rStyle w:val="Odwoanieprzypisudolnego"/>
          <w:lang w:val="pl-PL"/>
        </w:rPr>
        <w:footnoteRef/>
      </w:r>
      <w:r w:rsidRPr="00CA0393">
        <w:rPr>
          <w:lang w:val="pl-PL"/>
        </w:rPr>
        <w:t xml:space="preserve"> </w:t>
      </w:r>
      <w:r w:rsidRPr="00331CE7">
        <w:rPr>
          <w:rFonts w:ascii="Arial" w:hAnsi="Arial" w:cs="Arial"/>
          <w:lang w:val="pl-PL"/>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Koszty te nie są brane pod uwagę przy wyliczaniu wartości kosztów bezpośrednich, od których należy naliczyć koszty pośrednie (nie powiększają wartości kosztów bezpośrednich do wyliczenia stawki ryczałtowej kosztów pośrednich).</w:t>
      </w:r>
    </w:p>
  </w:footnote>
  <w:footnote w:id="4">
    <w:p w:rsidR="00FB5A19" w:rsidRPr="00FB5A19" w:rsidRDefault="00FB5A19">
      <w:pPr>
        <w:pStyle w:val="Tekstprzypisudolnego"/>
        <w:rPr>
          <w:lang w:val="pl-PL"/>
        </w:rPr>
      </w:pPr>
      <w:r>
        <w:rPr>
          <w:rStyle w:val="Odwoanieprzypisudolnego"/>
        </w:rPr>
        <w:footnoteRef/>
      </w:r>
      <w:r>
        <w:t xml:space="preserve"> </w:t>
      </w:r>
      <w:r w:rsidRPr="00A6049A">
        <w:rPr>
          <w:rFonts w:ascii="Arial" w:hAnsi="Arial" w:cs="Arial"/>
          <w:lang w:val="pl-PL"/>
        </w:rPr>
        <w:t>W przypadku operacji, w ramach których stosowanych jest kilka uproszczonych metod rozliczania kosztów, obejmujących różne kategorie kosztów, różne projekty lub kolejne etapy operacji, pola 3–11 należy wypełnić dla każdego wskaźnika uruchamiającego zwrot kosztów.</w:t>
      </w:r>
    </w:p>
  </w:footnote>
  <w:footnote w:id="5">
    <w:p w:rsidR="00FB5A19" w:rsidRPr="00FB5A19" w:rsidRDefault="00FB5A19">
      <w:pPr>
        <w:pStyle w:val="Tekstprzypisudolnego"/>
        <w:rPr>
          <w:lang w:val="pl-PL"/>
        </w:rPr>
      </w:pPr>
      <w:r>
        <w:rPr>
          <w:rStyle w:val="Odwoanieprzypisudolnego"/>
        </w:rPr>
        <w:footnoteRef/>
      </w:r>
      <w:r w:rsidRPr="00331CE7">
        <w:rPr>
          <w:rFonts w:ascii="Arial" w:hAnsi="Arial" w:cs="Arial"/>
        </w:rPr>
        <w:t xml:space="preserve"> </w:t>
      </w:r>
      <w:r w:rsidRPr="00331CE7">
        <w:rPr>
          <w:rFonts w:ascii="Arial" w:hAnsi="Arial" w:cs="Arial"/>
          <w:lang w:val="pl-PL"/>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To pomoc dla projektodawców i instytucji umożliwiająca elastyczne reagowanie na potrzeby uczestników z niepełnosprawnością, która zapewni im dostęp do usprawnień „szytych na miarę”. Jest to możliwość sfinansowania usprawnień nieprzewidzianych z góry we wniosku o dofinansowanie projektu, lecz uruchamianych wraz z pojawieniem się w projekcie (w charakterze uczestnika lub personelu) osoby z niepełnosprawnością. Przykłady takich racjonalnych usprawnień to np. wynajęcie transportu na miejsce udzielenia usługi, dostosowanie architektoniczne budynków lub infrastruktury komputerowej, sfinansowanie usługi asystenta osoby z trudnościami w poruszaniu się lub asystenta tłumaczącego na język łatwy czy migowy. Koszty te nie są brane pod uwagę przy wyliczaniu wartości kosztów bezpośrednich, od których należy naliczyć koszty pośrednie (nie powiększają wartości kosztów bezpośrednich do wyliczenia stawki ryczałtowej kosztów pośrednich).</w:t>
      </w:r>
    </w:p>
  </w:footnote>
  <w:footnote w:id="6">
    <w:p w:rsidR="00FB5A19" w:rsidRPr="00331CE7" w:rsidRDefault="00FB5A19">
      <w:pPr>
        <w:pStyle w:val="Tekstprzypisudolnego"/>
        <w:rPr>
          <w:rFonts w:ascii="Arial" w:hAnsi="Arial" w:cs="Arial"/>
          <w:lang w:val="pl-PL"/>
        </w:rPr>
      </w:pPr>
      <w:r w:rsidRPr="00331CE7">
        <w:rPr>
          <w:rStyle w:val="Odwoanieprzypisudolnego"/>
          <w:rFonts w:ascii="Arial" w:hAnsi="Arial" w:cs="Arial"/>
        </w:rPr>
        <w:footnoteRef/>
      </w:r>
      <w:r w:rsidRPr="00331CE7">
        <w:rPr>
          <w:rFonts w:ascii="Arial" w:hAnsi="Arial" w:cs="Arial"/>
        </w:rPr>
        <w:t xml:space="preserve"> </w:t>
      </w:r>
      <w:r w:rsidRPr="00331CE7">
        <w:rPr>
          <w:rFonts w:ascii="Arial" w:hAnsi="Arial" w:cs="Arial"/>
          <w:lang w:val="pl-PL"/>
        </w:rPr>
        <w:t>W stosownych przypadkach należy wskazać częstotliwość i termin korekty oraz wyraźne odniesienie do konkretnego wskaźnika (w tym, w stosownych przypadkach, link do strony internetowej, na której opublikowano ten wskaźnik).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C7D"/>
    <w:multiLevelType w:val="hybridMultilevel"/>
    <w:tmpl w:val="D61A5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E358F"/>
    <w:multiLevelType w:val="hybridMultilevel"/>
    <w:tmpl w:val="7FAC8D1C"/>
    <w:lvl w:ilvl="0" w:tplc="D982C906">
      <w:start w:val="1"/>
      <w:numFmt w:val="upperLetter"/>
      <w:pStyle w:val="Nagwek2"/>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
    <w:nsid w:val="1324055A"/>
    <w:multiLevelType w:val="multilevel"/>
    <w:tmpl w:val="C9460C88"/>
    <w:lvl w:ilvl="0">
      <w:start w:val="1"/>
      <w:numFmt w:val="decimal"/>
      <w:lvlText w:val="%1."/>
      <w:lvlJc w:val="left"/>
      <w:pPr>
        <w:ind w:left="360" w:hanging="360"/>
      </w:pPr>
    </w:lvl>
    <w:lvl w:ilvl="1">
      <w:start w:val="1"/>
      <w:numFmt w:val="decimal"/>
      <w:pStyle w:val="Nagwek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110349"/>
    <w:multiLevelType w:val="hybridMultilevel"/>
    <w:tmpl w:val="B6F2E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DD0915"/>
    <w:multiLevelType w:val="hybridMultilevel"/>
    <w:tmpl w:val="36D2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EA6AA5"/>
    <w:multiLevelType w:val="hybridMultilevel"/>
    <w:tmpl w:val="2A985D58"/>
    <w:lvl w:ilvl="0" w:tplc="04150017">
      <w:start w:val="1"/>
      <w:numFmt w:val="lowerLetter"/>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20A0D6A"/>
    <w:multiLevelType w:val="hybridMultilevel"/>
    <w:tmpl w:val="9BDCD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C6610C"/>
    <w:multiLevelType w:val="hybridMultilevel"/>
    <w:tmpl w:val="2112FD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324862"/>
    <w:multiLevelType w:val="hybridMultilevel"/>
    <w:tmpl w:val="5222651C"/>
    <w:lvl w:ilvl="0" w:tplc="5888BD7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42143A"/>
    <w:multiLevelType w:val="hybridMultilevel"/>
    <w:tmpl w:val="09EE4502"/>
    <w:lvl w:ilvl="0" w:tplc="DF30E0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EE11A3"/>
    <w:multiLevelType w:val="hybridMultilevel"/>
    <w:tmpl w:val="89BC6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681E7E"/>
    <w:multiLevelType w:val="hybridMultilevel"/>
    <w:tmpl w:val="F112B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B031ED"/>
    <w:multiLevelType w:val="hybridMultilevel"/>
    <w:tmpl w:val="0486C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CB717D"/>
    <w:multiLevelType w:val="hybridMultilevel"/>
    <w:tmpl w:val="559EE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CEE4DD0"/>
    <w:multiLevelType w:val="hybridMultilevel"/>
    <w:tmpl w:val="2A985D58"/>
    <w:lvl w:ilvl="0" w:tplc="04150017">
      <w:start w:val="1"/>
      <w:numFmt w:val="lowerLetter"/>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169458E"/>
    <w:multiLevelType w:val="hybridMultilevel"/>
    <w:tmpl w:val="2E0A7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9785F07"/>
    <w:multiLevelType w:val="hybridMultilevel"/>
    <w:tmpl w:val="D180CE76"/>
    <w:lvl w:ilvl="0" w:tplc="2D7EA4FE">
      <w:start w:val="1"/>
      <w:numFmt w:val="decimal"/>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DE25B3"/>
    <w:multiLevelType w:val="hybridMultilevel"/>
    <w:tmpl w:val="091CEDF6"/>
    <w:lvl w:ilvl="0" w:tplc="E41ED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B257B9"/>
    <w:multiLevelType w:val="hybridMultilevel"/>
    <w:tmpl w:val="20C0E1C0"/>
    <w:lvl w:ilvl="0" w:tplc="E41ED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FC5A0D"/>
    <w:multiLevelType w:val="hybridMultilevel"/>
    <w:tmpl w:val="A120CFCE"/>
    <w:lvl w:ilvl="0" w:tplc="9B00F76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3"/>
  </w:num>
  <w:num w:numId="5">
    <w:abstractNumId w:val="9"/>
  </w:num>
  <w:num w:numId="6">
    <w:abstractNumId w:val="7"/>
  </w:num>
  <w:num w:numId="7">
    <w:abstractNumId w:val="1"/>
  </w:num>
  <w:num w:numId="8">
    <w:abstractNumId w:val="2"/>
  </w:num>
  <w:num w:numId="9">
    <w:abstractNumId w:val="16"/>
  </w:num>
  <w:num w:numId="10">
    <w:abstractNumId w:val="16"/>
    <w:lvlOverride w:ilvl="0">
      <w:startOverride w:val="1"/>
    </w:lvlOverride>
  </w:num>
  <w:num w:numId="11">
    <w:abstractNumId w:val="14"/>
  </w:num>
  <w:num w:numId="12">
    <w:abstractNumId w:val="18"/>
  </w:num>
  <w:num w:numId="13">
    <w:abstractNumId w:val="15"/>
  </w:num>
  <w:num w:numId="14">
    <w:abstractNumId w:val="11"/>
  </w:num>
  <w:num w:numId="15">
    <w:abstractNumId w:val="8"/>
  </w:num>
  <w:num w:numId="16">
    <w:abstractNumId w:val="12"/>
  </w:num>
  <w:num w:numId="17">
    <w:abstractNumId w:val="0"/>
  </w:num>
  <w:num w:numId="18">
    <w:abstractNumId w:val="10"/>
  </w:num>
  <w:num w:numId="19">
    <w:abstractNumId w:val="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3A"/>
    <w:rsid w:val="00032F71"/>
    <w:rsid w:val="00082C7B"/>
    <w:rsid w:val="000D3476"/>
    <w:rsid w:val="00113559"/>
    <w:rsid w:val="002C7FC2"/>
    <w:rsid w:val="00331CE7"/>
    <w:rsid w:val="004A4D0F"/>
    <w:rsid w:val="004B6F55"/>
    <w:rsid w:val="00576BA7"/>
    <w:rsid w:val="005B1722"/>
    <w:rsid w:val="005C4A60"/>
    <w:rsid w:val="006D4623"/>
    <w:rsid w:val="00715ECD"/>
    <w:rsid w:val="00733F9C"/>
    <w:rsid w:val="0073643E"/>
    <w:rsid w:val="00780215"/>
    <w:rsid w:val="0081686A"/>
    <w:rsid w:val="00823D2D"/>
    <w:rsid w:val="00861462"/>
    <w:rsid w:val="00895626"/>
    <w:rsid w:val="008D78BC"/>
    <w:rsid w:val="008E0ADD"/>
    <w:rsid w:val="008E352F"/>
    <w:rsid w:val="008E497E"/>
    <w:rsid w:val="008F416A"/>
    <w:rsid w:val="0096380A"/>
    <w:rsid w:val="00965C64"/>
    <w:rsid w:val="009F64BE"/>
    <w:rsid w:val="00A51D88"/>
    <w:rsid w:val="00A6049A"/>
    <w:rsid w:val="00B10BD4"/>
    <w:rsid w:val="00B141E5"/>
    <w:rsid w:val="00B65DC4"/>
    <w:rsid w:val="00BF3F88"/>
    <w:rsid w:val="00C37A77"/>
    <w:rsid w:val="00C552B3"/>
    <w:rsid w:val="00C619C5"/>
    <w:rsid w:val="00C75C3A"/>
    <w:rsid w:val="00C813EC"/>
    <w:rsid w:val="00CA0393"/>
    <w:rsid w:val="00CF7616"/>
    <w:rsid w:val="00D2118A"/>
    <w:rsid w:val="00D974A7"/>
    <w:rsid w:val="00E60CA8"/>
    <w:rsid w:val="00EA2DE0"/>
    <w:rsid w:val="00F54182"/>
    <w:rsid w:val="00FB5A19"/>
    <w:rsid w:val="00FD6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823D2D"/>
    <w:pPr>
      <w:spacing w:before="200"/>
      <w:jc w:val="center"/>
      <w:outlineLvl w:val="0"/>
    </w:pPr>
    <w:rPr>
      <w:rFonts w:ascii="Arial" w:eastAsia="Times New Roman" w:hAnsi="Arial" w:cs="Arial"/>
      <w:b/>
      <w:iCs/>
      <w:noProof/>
      <w:sz w:val="28"/>
      <w:lang w:val="pl-PL"/>
    </w:rPr>
  </w:style>
  <w:style w:type="paragraph" w:styleId="Nagwek2">
    <w:name w:val="heading 2"/>
    <w:basedOn w:val="Bezodstpw"/>
    <w:next w:val="Normalny"/>
    <w:link w:val="Nagwek2Znak"/>
    <w:uiPriority w:val="9"/>
    <w:unhideWhenUsed/>
    <w:qFormat/>
    <w:rsid w:val="00733F9C"/>
    <w:pPr>
      <w:numPr>
        <w:numId w:val="7"/>
      </w:numPr>
      <w:spacing w:before="120" w:after="240"/>
      <w:ind w:left="782" w:hanging="357"/>
      <w:outlineLvl w:val="1"/>
    </w:pPr>
    <w:rPr>
      <w:rFonts w:ascii="Arial" w:hAnsi="Arial" w:cs="Arial"/>
      <w:b/>
      <w:noProof/>
      <w:sz w:val="24"/>
    </w:rPr>
  </w:style>
  <w:style w:type="paragraph" w:styleId="Nagwek3">
    <w:name w:val="heading 3"/>
    <w:basedOn w:val="Nagwek1"/>
    <w:next w:val="Normalny"/>
    <w:link w:val="Nagwek3Znak"/>
    <w:uiPriority w:val="9"/>
    <w:unhideWhenUsed/>
    <w:qFormat/>
    <w:rsid w:val="00733F9C"/>
    <w:pPr>
      <w:jc w:val="left"/>
      <w:outlineLvl w:val="2"/>
    </w:pPr>
    <w:rPr>
      <w:rFonts w:eastAsia="Calibri"/>
      <w:b w:val="0"/>
      <w:sz w:val="24"/>
    </w:rPr>
  </w:style>
  <w:style w:type="paragraph" w:styleId="Nagwek4">
    <w:name w:val="heading 4"/>
    <w:basedOn w:val="Akapitzlist"/>
    <w:next w:val="Normalny"/>
    <w:link w:val="Nagwek4Znak"/>
    <w:uiPriority w:val="9"/>
    <w:unhideWhenUsed/>
    <w:qFormat/>
    <w:rsid w:val="00733F9C"/>
    <w:pPr>
      <w:numPr>
        <w:ilvl w:val="1"/>
        <w:numId w:val="8"/>
      </w:numPr>
      <w:spacing w:after="0"/>
      <w:contextualSpacing w:val="0"/>
      <w:outlineLvl w:val="3"/>
    </w:pPr>
    <w:rPr>
      <w:rFonts w:ascii="Arial" w:eastAsia="Calibri" w:hAnsi="Arial" w:cs="Arial"/>
      <w:bCs/>
      <w:noProof/>
      <w:sz w:val="24"/>
      <w:lang w:val="pl-PL"/>
    </w:rPr>
  </w:style>
  <w:style w:type="paragraph" w:styleId="Nagwek5">
    <w:name w:val="heading 5"/>
    <w:basedOn w:val="Akapitzlist"/>
    <w:next w:val="Normalny"/>
    <w:link w:val="Nagwek5Znak"/>
    <w:uiPriority w:val="9"/>
    <w:unhideWhenUsed/>
    <w:qFormat/>
    <w:rsid w:val="00733F9C"/>
    <w:pPr>
      <w:numPr>
        <w:numId w:val="9"/>
      </w:numPr>
      <w:autoSpaceDE w:val="0"/>
      <w:autoSpaceDN w:val="0"/>
      <w:adjustRightInd w:val="0"/>
      <w:spacing w:before="120" w:after="120"/>
      <w:ind w:left="714" w:hanging="357"/>
      <w:contextualSpacing w:val="0"/>
      <w:outlineLvl w:val="4"/>
    </w:pPr>
    <w:rPr>
      <w:rFonts w:ascii="Arial" w:eastAsia="Calibri" w:hAnsi="Arial" w:cs="Arial"/>
      <w:bCs/>
      <w:iCs/>
      <w:noProof/>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41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182"/>
    <w:rPr>
      <w:lang w:val="en-GB"/>
    </w:rPr>
  </w:style>
  <w:style w:type="paragraph" w:styleId="Stopka">
    <w:name w:val="footer"/>
    <w:basedOn w:val="Normalny"/>
    <w:link w:val="StopkaZnak"/>
    <w:uiPriority w:val="99"/>
    <w:unhideWhenUsed/>
    <w:rsid w:val="00F54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182"/>
    <w:rPr>
      <w:lang w:val="en-GB"/>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Podrozdział,Przypis"/>
    <w:basedOn w:val="Normalny"/>
    <w:link w:val="TekstprzypisudolnegoZnak"/>
    <w:unhideWhenUsed/>
    <w:rsid w:val="00F54182"/>
    <w:pPr>
      <w:spacing w:after="0" w:line="240" w:lineRule="auto"/>
    </w:pPr>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4182"/>
    <w:rPr>
      <w:sz w:val="20"/>
      <w:szCs w:val="20"/>
      <w:lang w:val="en-GB"/>
    </w:rPr>
  </w:style>
  <w:style w:type="character" w:styleId="Odwoanieprzypisudolnego">
    <w:name w:val="footnote reference"/>
    <w:aliases w:val="Footnote call,BVI fnr,SUPERS,Footnote symbol, BVI fnr,(Footnote Reference),Footnote,Voetnootverwijzing,Times 10 Point,Exposant 3 Point,Footnote reference number,note TESI,stylish,Ref,de nota al pie,Footnote Reference1,16 Point"/>
    <w:basedOn w:val="Domylnaczcionkaakapitu"/>
    <w:unhideWhenUsed/>
    <w:rsid w:val="00F54182"/>
    <w:rPr>
      <w:b/>
      <w:shd w:val="clear" w:color="auto" w:fill="auto"/>
      <w:vertAlign w:val="superscript"/>
    </w:rPr>
  </w:style>
  <w:style w:type="paragraph" w:styleId="NormalnyWeb">
    <w:name w:val="Normal (Web)"/>
    <w:basedOn w:val="Normalny"/>
    <w:uiPriority w:val="99"/>
    <w:unhideWhenUsed/>
    <w:rsid w:val="002C7FC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2C7FC2"/>
    <w:pPr>
      <w:ind w:left="720"/>
      <w:contextualSpacing/>
    </w:pPr>
  </w:style>
  <w:style w:type="paragraph" w:customStyle="1" w:styleId="NormalCentered">
    <w:name w:val="Normal Centered"/>
    <w:basedOn w:val="Normalny"/>
    <w:rsid w:val="005C4A60"/>
    <w:pPr>
      <w:spacing w:before="200" w:after="120" w:line="360" w:lineRule="auto"/>
      <w:jc w:val="center"/>
    </w:pPr>
    <w:rPr>
      <w:rFonts w:ascii="Times New Roman" w:hAnsi="Times New Roman" w:cs="Times New Roman"/>
      <w:sz w:val="24"/>
      <w:lang w:val="pl-PL"/>
    </w:rPr>
  </w:style>
  <w:style w:type="paragraph" w:styleId="Bezodstpw">
    <w:name w:val="No Spacing"/>
    <w:uiPriority w:val="1"/>
    <w:qFormat/>
    <w:rsid w:val="00EA2DE0"/>
    <w:pPr>
      <w:spacing w:after="0" w:line="240" w:lineRule="auto"/>
    </w:pPr>
    <w:rPr>
      <w:lang w:val="en-GB"/>
    </w:rPr>
  </w:style>
  <w:style w:type="character" w:customStyle="1" w:styleId="Nagwek1Znak">
    <w:name w:val="Nagłówek 1 Znak"/>
    <w:basedOn w:val="Domylnaczcionkaakapitu"/>
    <w:link w:val="Nagwek1"/>
    <w:uiPriority w:val="9"/>
    <w:rsid w:val="00823D2D"/>
    <w:rPr>
      <w:rFonts w:ascii="Arial" w:eastAsia="Times New Roman" w:hAnsi="Arial" w:cs="Arial"/>
      <w:b/>
      <w:iCs/>
      <w:noProof/>
      <w:sz w:val="28"/>
    </w:rPr>
  </w:style>
  <w:style w:type="character" w:customStyle="1" w:styleId="Nagwek2Znak">
    <w:name w:val="Nagłówek 2 Znak"/>
    <w:basedOn w:val="Domylnaczcionkaakapitu"/>
    <w:link w:val="Nagwek2"/>
    <w:uiPriority w:val="9"/>
    <w:rsid w:val="00733F9C"/>
    <w:rPr>
      <w:rFonts w:ascii="Arial" w:hAnsi="Arial" w:cs="Arial"/>
      <w:b/>
      <w:noProof/>
      <w:sz w:val="24"/>
      <w:lang w:val="en-GB"/>
    </w:rPr>
  </w:style>
  <w:style w:type="character" w:customStyle="1" w:styleId="Nagwek3Znak">
    <w:name w:val="Nagłówek 3 Znak"/>
    <w:basedOn w:val="Domylnaczcionkaakapitu"/>
    <w:link w:val="Nagwek3"/>
    <w:uiPriority w:val="9"/>
    <w:rsid w:val="00733F9C"/>
    <w:rPr>
      <w:rFonts w:ascii="Arial" w:eastAsia="Calibri" w:hAnsi="Arial" w:cs="Arial"/>
      <w:iCs/>
      <w:noProof/>
      <w:sz w:val="24"/>
    </w:rPr>
  </w:style>
  <w:style w:type="character" w:customStyle="1" w:styleId="Nagwek4Znak">
    <w:name w:val="Nagłówek 4 Znak"/>
    <w:basedOn w:val="Domylnaczcionkaakapitu"/>
    <w:link w:val="Nagwek4"/>
    <w:uiPriority w:val="9"/>
    <w:rsid w:val="00733F9C"/>
    <w:rPr>
      <w:rFonts w:ascii="Arial" w:eastAsia="Calibri" w:hAnsi="Arial" w:cs="Arial"/>
      <w:bCs/>
      <w:noProof/>
      <w:sz w:val="24"/>
    </w:rPr>
  </w:style>
  <w:style w:type="character" w:customStyle="1" w:styleId="Nagwek5Znak">
    <w:name w:val="Nagłówek 5 Znak"/>
    <w:basedOn w:val="Domylnaczcionkaakapitu"/>
    <w:link w:val="Nagwek5"/>
    <w:uiPriority w:val="9"/>
    <w:rsid w:val="00733F9C"/>
    <w:rPr>
      <w:rFonts w:ascii="Arial" w:eastAsia="Calibri" w:hAnsi="Arial" w:cs="Arial"/>
      <w:bCs/>
      <w:i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1">
    <w:name w:val="heading 1"/>
    <w:basedOn w:val="Normalny"/>
    <w:next w:val="Normalny"/>
    <w:link w:val="Nagwek1Znak"/>
    <w:uiPriority w:val="9"/>
    <w:qFormat/>
    <w:rsid w:val="00823D2D"/>
    <w:pPr>
      <w:spacing w:before="200"/>
      <w:jc w:val="center"/>
      <w:outlineLvl w:val="0"/>
    </w:pPr>
    <w:rPr>
      <w:rFonts w:ascii="Arial" w:eastAsia="Times New Roman" w:hAnsi="Arial" w:cs="Arial"/>
      <w:b/>
      <w:iCs/>
      <w:noProof/>
      <w:sz w:val="28"/>
      <w:lang w:val="pl-PL"/>
    </w:rPr>
  </w:style>
  <w:style w:type="paragraph" w:styleId="Nagwek2">
    <w:name w:val="heading 2"/>
    <w:basedOn w:val="Bezodstpw"/>
    <w:next w:val="Normalny"/>
    <w:link w:val="Nagwek2Znak"/>
    <w:uiPriority w:val="9"/>
    <w:unhideWhenUsed/>
    <w:qFormat/>
    <w:rsid w:val="00733F9C"/>
    <w:pPr>
      <w:numPr>
        <w:numId w:val="7"/>
      </w:numPr>
      <w:spacing w:before="120" w:after="240"/>
      <w:ind w:left="782" w:hanging="357"/>
      <w:outlineLvl w:val="1"/>
    </w:pPr>
    <w:rPr>
      <w:rFonts w:ascii="Arial" w:hAnsi="Arial" w:cs="Arial"/>
      <w:b/>
      <w:noProof/>
      <w:sz w:val="24"/>
    </w:rPr>
  </w:style>
  <w:style w:type="paragraph" w:styleId="Nagwek3">
    <w:name w:val="heading 3"/>
    <w:basedOn w:val="Nagwek1"/>
    <w:next w:val="Normalny"/>
    <w:link w:val="Nagwek3Znak"/>
    <w:uiPriority w:val="9"/>
    <w:unhideWhenUsed/>
    <w:qFormat/>
    <w:rsid w:val="00733F9C"/>
    <w:pPr>
      <w:jc w:val="left"/>
      <w:outlineLvl w:val="2"/>
    </w:pPr>
    <w:rPr>
      <w:rFonts w:eastAsia="Calibri"/>
      <w:b w:val="0"/>
      <w:sz w:val="24"/>
    </w:rPr>
  </w:style>
  <w:style w:type="paragraph" w:styleId="Nagwek4">
    <w:name w:val="heading 4"/>
    <w:basedOn w:val="Akapitzlist"/>
    <w:next w:val="Normalny"/>
    <w:link w:val="Nagwek4Znak"/>
    <w:uiPriority w:val="9"/>
    <w:unhideWhenUsed/>
    <w:qFormat/>
    <w:rsid w:val="00733F9C"/>
    <w:pPr>
      <w:numPr>
        <w:ilvl w:val="1"/>
        <w:numId w:val="8"/>
      </w:numPr>
      <w:spacing w:after="0"/>
      <w:contextualSpacing w:val="0"/>
      <w:outlineLvl w:val="3"/>
    </w:pPr>
    <w:rPr>
      <w:rFonts w:ascii="Arial" w:eastAsia="Calibri" w:hAnsi="Arial" w:cs="Arial"/>
      <w:bCs/>
      <w:noProof/>
      <w:sz w:val="24"/>
      <w:lang w:val="pl-PL"/>
    </w:rPr>
  </w:style>
  <w:style w:type="paragraph" w:styleId="Nagwek5">
    <w:name w:val="heading 5"/>
    <w:basedOn w:val="Akapitzlist"/>
    <w:next w:val="Normalny"/>
    <w:link w:val="Nagwek5Znak"/>
    <w:uiPriority w:val="9"/>
    <w:unhideWhenUsed/>
    <w:qFormat/>
    <w:rsid w:val="00733F9C"/>
    <w:pPr>
      <w:numPr>
        <w:numId w:val="9"/>
      </w:numPr>
      <w:autoSpaceDE w:val="0"/>
      <w:autoSpaceDN w:val="0"/>
      <w:adjustRightInd w:val="0"/>
      <w:spacing w:before="120" w:after="120"/>
      <w:ind w:left="714" w:hanging="357"/>
      <w:contextualSpacing w:val="0"/>
      <w:outlineLvl w:val="4"/>
    </w:pPr>
    <w:rPr>
      <w:rFonts w:ascii="Arial" w:eastAsia="Calibri" w:hAnsi="Arial" w:cs="Arial"/>
      <w:bCs/>
      <w:iCs/>
      <w:noProof/>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41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182"/>
    <w:rPr>
      <w:lang w:val="en-GB"/>
    </w:rPr>
  </w:style>
  <w:style w:type="paragraph" w:styleId="Stopka">
    <w:name w:val="footer"/>
    <w:basedOn w:val="Normalny"/>
    <w:link w:val="StopkaZnak"/>
    <w:uiPriority w:val="99"/>
    <w:unhideWhenUsed/>
    <w:rsid w:val="00F54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182"/>
    <w:rPr>
      <w:lang w:val="en-GB"/>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Podrozdział,Przypis"/>
    <w:basedOn w:val="Normalny"/>
    <w:link w:val="TekstprzypisudolnegoZnak"/>
    <w:unhideWhenUsed/>
    <w:rsid w:val="00F54182"/>
    <w:pPr>
      <w:spacing w:after="0" w:line="240" w:lineRule="auto"/>
    </w:pPr>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F54182"/>
    <w:rPr>
      <w:sz w:val="20"/>
      <w:szCs w:val="20"/>
      <w:lang w:val="en-GB"/>
    </w:rPr>
  </w:style>
  <w:style w:type="character" w:styleId="Odwoanieprzypisudolnego">
    <w:name w:val="footnote reference"/>
    <w:aliases w:val="Footnote call,BVI fnr,SUPERS,Footnote symbol, BVI fnr,(Footnote Reference),Footnote,Voetnootverwijzing,Times 10 Point,Exposant 3 Point,Footnote reference number,note TESI,stylish,Ref,de nota al pie,Footnote Reference1,16 Point"/>
    <w:basedOn w:val="Domylnaczcionkaakapitu"/>
    <w:unhideWhenUsed/>
    <w:rsid w:val="00F54182"/>
    <w:rPr>
      <w:b/>
      <w:shd w:val="clear" w:color="auto" w:fill="auto"/>
      <w:vertAlign w:val="superscript"/>
    </w:rPr>
  </w:style>
  <w:style w:type="paragraph" w:styleId="NormalnyWeb">
    <w:name w:val="Normal (Web)"/>
    <w:basedOn w:val="Normalny"/>
    <w:uiPriority w:val="99"/>
    <w:unhideWhenUsed/>
    <w:rsid w:val="002C7FC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2C7FC2"/>
    <w:pPr>
      <w:ind w:left="720"/>
      <w:contextualSpacing/>
    </w:pPr>
  </w:style>
  <w:style w:type="paragraph" w:customStyle="1" w:styleId="NormalCentered">
    <w:name w:val="Normal Centered"/>
    <w:basedOn w:val="Normalny"/>
    <w:rsid w:val="005C4A60"/>
    <w:pPr>
      <w:spacing w:before="200" w:after="120" w:line="360" w:lineRule="auto"/>
      <w:jc w:val="center"/>
    </w:pPr>
    <w:rPr>
      <w:rFonts w:ascii="Times New Roman" w:hAnsi="Times New Roman" w:cs="Times New Roman"/>
      <w:sz w:val="24"/>
      <w:lang w:val="pl-PL"/>
    </w:rPr>
  </w:style>
  <w:style w:type="paragraph" w:styleId="Bezodstpw">
    <w:name w:val="No Spacing"/>
    <w:uiPriority w:val="1"/>
    <w:qFormat/>
    <w:rsid w:val="00EA2DE0"/>
    <w:pPr>
      <w:spacing w:after="0" w:line="240" w:lineRule="auto"/>
    </w:pPr>
    <w:rPr>
      <w:lang w:val="en-GB"/>
    </w:rPr>
  </w:style>
  <w:style w:type="character" w:customStyle="1" w:styleId="Nagwek1Znak">
    <w:name w:val="Nagłówek 1 Znak"/>
    <w:basedOn w:val="Domylnaczcionkaakapitu"/>
    <w:link w:val="Nagwek1"/>
    <w:uiPriority w:val="9"/>
    <w:rsid w:val="00823D2D"/>
    <w:rPr>
      <w:rFonts w:ascii="Arial" w:eastAsia="Times New Roman" w:hAnsi="Arial" w:cs="Arial"/>
      <w:b/>
      <w:iCs/>
      <w:noProof/>
      <w:sz w:val="28"/>
    </w:rPr>
  </w:style>
  <w:style w:type="character" w:customStyle="1" w:styleId="Nagwek2Znak">
    <w:name w:val="Nagłówek 2 Znak"/>
    <w:basedOn w:val="Domylnaczcionkaakapitu"/>
    <w:link w:val="Nagwek2"/>
    <w:uiPriority w:val="9"/>
    <w:rsid w:val="00733F9C"/>
    <w:rPr>
      <w:rFonts w:ascii="Arial" w:hAnsi="Arial" w:cs="Arial"/>
      <w:b/>
      <w:noProof/>
      <w:sz w:val="24"/>
      <w:lang w:val="en-GB"/>
    </w:rPr>
  </w:style>
  <w:style w:type="character" w:customStyle="1" w:styleId="Nagwek3Znak">
    <w:name w:val="Nagłówek 3 Znak"/>
    <w:basedOn w:val="Domylnaczcionkaakapitu"/>
    <w:link w:val="Nagwek3"/>
    <w:uiPriority w:val="9"/>
    <w:rsid w:val="00733F9C"/>
    <w:rPr>
      <w:rFonts w:ascii="Arial" w:eastAsia="Calibri" w:hAnsi="Arial" w:cs="Arial"/>
      <w:iCs/>
      <w:noProof/>
      <w:sz w:val="24"/>
    </w:rPr>
  </w:style>
  <w:style w:type="character" w:customStyle="1" w:styleId="Nagwek4Znak">
    <w:name w:val="Nagłówek 4 Znak"/>
    <w:basedOn w:val="Domylnaczcionkaakapitu"/>
    <w:link w:val="Nagwek4"/>
    <w:uiPriority w:val="9"/>
    <w:rsid w:val="00733F9C"/>
    <w:rPr>
      <w:rFonts w:ascii="Arial" w:eastAsia="Calibri" w:hAnsi="Arial" w:cs="Arial"/>
      <w:bCs/>
      <w:noProof/>
      <w:sz w:val="24"/>
    </w:rPr>
  </w:style>
  <w:style w:type="character" w:customStyle="1" w:styleId="Nagwek5Znak">
    <w:name w:val="Nagłówek 5 Znak"/>
    <w:basedOn w:val="Domylnaczcionkaakapitu"/>
    <w:link w:val="Nagwek5"/>
    <w:uiPriority w:val="9"/>
    <w:rsid w:val="00733F9C"/>
    <w:rPr>
      <w:rFonts w:ascii="Arial" w:eastAsia="Calibri" w:hAnsi="Arial" w:cs="Arial"/>
      <w:bCs/>
      <w:i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95C5-8D28-487C-BA2F-B6B7909E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2630</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Jagiello</dc:creator>
  <cp:lastModifiedBy>Filip Maciagowski</cp:lastModifiedBy>
  <cp:revision>34</cp:revision>
  <dcterms:created xsi:type="dcterms:W3CDTF">2021-05-27T13:44:00Z</dcterms:created>
  <dcterms:modified xsi:type="dcterms:W3CDTF">2021-06-16T09:43:00Z</dcterms:modified>
</cp:coreProperties>
</file>